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F3C4460" w:rsidR="00AD4681" w:rsidRDefault="00AD4681" w:rsidP="00AD4681">
      <w:pPr>
        <w:pStyle w:val="Header"/>
        <w:tabs>
          <w:tab w:val="right" w:pos="9639"/>
        </w:tabs>
        <w:jc w:val="both"/>
        <w:rPr>
          <w:rFonts w:cs="Arial"/>
          <w:sz w:val="24"/>
          <w:lang w:eastAsia="zh-CN"/>
        </w:rPr>
      </w:pPr>
      <w:r>
        <w:rPr>
          <w:rFonts w:cs="Arial"/>
          <w:sz w:val="24"/>
          <w:lang w:eastAsia="zh-CN"/>
        </w:rPr>
        <w:t>3GPP TSG-RAN WG2 Meeting #1</w:t>
      </w:r>
      <w:r w:rsidR="00A32E66">
        <w:rPr>
          <w:rFonts w:cs="Arial"/>
          <w:sz w:val="24"/>
          <w:lang w:eastAsia="zh-CN"/>
        </w:rPr>
        <w:t>20</w:t>
      </w:r>
      <w:r>
        <w:rPr>
          <w:rFonts w:cs="Arial"/>
          <w:sz w:val="24"/>
          <w:lang w:eastAsia="zh-CN"/>
        </w:rPr>
        <w:t xml:space="preserve"> </w:t>
      </w:r>
      <w:r w:rsidRPr="00D10DF1">
        <w:rPr>
          <w:rFonts w:cs="Arial"/>
          <w:sz w:val="24"/>
          <w:lang w:eastAsia="zh-CN"/>
        </w:rPr>
        <w:t>electronic</w:t>
      </w:r>
      <w:r>
        <w:rPr>
          <w:rFonts w:cs="Arial"/>
          <w:sz w:val="24"/>
          <w:lang w:eastAsia="zh-CN"/>
        </w:rPr>
        <w:tab/>
      </w:r>
      <w:r w:rsidR="00815544" w:rsidRPr="00815544">
        <w:rPr>
          <w:rFonts w:cs="Arial"/>
          <w:sz w:val="24"/>
          <w:lang w:eastAsia="zh-CN"/>
        </w:rPr>
        <w:t>R2-</w:t>
      </w:r>
      <w:r w:rsidR="00A11FA1" w:rsidRPr="00A11FA1">
        <w:rPr>
          <w:rFonts w:cs="Arial"/>
          <w:sz w:val="24"/>
          <w:lang w:eastAsia="zh-CN"/>
        </w:rPr>
        <w:t>2212866</w:t>
      </w:r>
    </w:p>
    <w:p w14:paraId="194FD871" w14:textId="30767128" w:rsidR="00824529" w:rsidRDefault="00DF403B" w:rsidP="00AD4681">
      <w:pPr>
        <w:pStyle w:val="Header"/>
        <w:tabs>
          <w:tab w:val="right" w:pos="9639"/>
        </w:tabs>
        <w:jc w:val="both"/>
        <w:rPr>
          <w:rFonts w:cs="Arial"/>
          <w:sz w:val="24"/>
          <w:lang w:eastAsia="zh-CN"/>
        </w:rPr>
      </w:pPr>
      <w:r>
        <w:rPr>
          <w:rFonts w:cs="Arial"/>
          <w:sz w:val="24"/>
          <w:lang w:eastAsia="zh-CN"/>
        </w:rPr>
        <w:t>Toulouse</w:t>
      </w:r>
      <w:r w:rsidR="00AD4681" w:rsidRPr="00C74D81">
        <w:rPr>
          <w:rFonts w:cs="Arial"/>
          <w:sz w:val="24"/>
          <w:lang w:eastAsia="zh-CN"/>
        </w:rPr>
        <w:t xml:space="preserve">, </w:t>
      </w:r>
      <w:r w:rsidR="00A90DA8">
        <w:rPr>
          <w:rFonts w:cs="Arial"/>
          <w:sz w:val="24"/>
          <w:lang w:eastAsia="zh-CN"/>
        </w:rPr>
        <w:t>1</w:t>
      </w:r>
      <w:r w:rsidR="002B499F">
        <w:rPr>
          <w:rFonts w:cs="Arial"/>
          <w:sz w:val="24"/>
          <w:lang w:eastAsia="zh-CN"/>
        </w:rPr>
        <w:t>4</w:t>
      </w:r>
      <w:r w:rsidR="002855F9">
        <w:rPr>
          <w:rFonts w:cs="Arial"/>
          <w:sz w:val="24"/>
          <w:vertAlign w:val="superscript"/>
          <w:lang w:eastAsia="zh-CN"/>
        </w:rPr>
        <w:t>th</w:t>
      </w:r>
      <w:r w:rsidR="002C2DE8" w:rsidRPr="002C2DE8">
        <w:rPr>
          <w:rFonts w:cs="Arial"/>
          <w:sz w:val="24"/>
          <w:lang w:eastAsia="zh-CN"/>
        </w:rPr>
        <w:t xml:space="preserve"> </w:t>
      </w:r>
      <w:r w:rsidR="002B499F">
        <w:rPr>
          <w:rFonts w:cs="Arial"/>
          <w:sz w:val="24"/>
          <w:lang w:eastAsia="zh-CN"/>
        </w:rPr>
        <w:t>Novem</w:t>
      </w:r>
      <w:r w:rsidR="00900E16">
        <w:rPr>
          <w:rFonts w:cs="Arial"/>
          <w:sz w:val="24"/>
          <w:lang w:eastAsia="zh-CN"/>
        </w:rPr>
        <w:t>ber</w:t>
      </w:r>
      <w:r w:rsidR="00900E16" w:rsidRPr="002C2DE8">
        <w:rPr>
          <w:rFonts w:cs="Arial"/>
          <w:sz w:val="24"/>
          <w:lang w:eastAsia="zh-CN"/>
        </w:rPr>
        <w:t xml:space="preserve"> </w:t>
      </w:r>
      <w:r w:rsidR="002C2DE8" w:rsidRPr="002C2DE8">
        <w:rPr>
          <w:rFonts w:cs="Arial"/>
          <w:sz w:val="24"/>
          <w:lang w:eastAsia="zh-CN"/>
        </w:rPr>
        <w:t xml:space="preserve">– </w:t>
      </w:r>
      <w:r w:rsidR="008C7BFB">
        <w:rPr>
          <w:rFonts w:cs="Arial"/>
          <w:sz w:val="24"/>
          <w:lang w:eastAsia="zh-CN"/>
        </w:rPr>
        <w:t>1</w:t>
      </w:r>
      <w:r w:rsidR="002B499F">
        <w:rPr>
          <w:rFonts w:cs="Arial"/>
          <w:sz w:val="24"/>
          <w:lang w:eastAsia="zh-CN"/>
        </w:rPr>
        <w:t>8</w:t>
      </w:r>
      <w:r w:rsidR="002855F9">
        <w:rPr>
          <w:rFonts w:cs="Arial"/>
          <w:sz w:val="24"/>
          <w:vertAlign w:val="superscript"/>
          <w:lang w:eastAsia="zh-CN"/>
        </w:rPr>
        <w:t>th</w:t>
      </w:r>
      <w:r w:rsidR="002C2DE8" w:rsidRPr="002C2DE8">
        <w:rPr>
          <w:rFonts w:cs="Arial"/>
          <w:sz w:val="24"/>
          <w:lang w:eastAsia="zh-CN"/>
        </w:rPr>
        <w:t xml:space="preserve"> </w:t>
      </w:r>
      <w:r w:rsidR="002B499F">
        <w:rPr>
          <w:rFonts w:cs="Arial"/>
          <w:sz w:val="24"/>
          <w:lang w:eastAsia="zh-CN"/>
        </w:rPr>
        <w:t>November</w:t>
      </w:r>
      <w:r w:rsidR="00AD4681" w:rsidRPr="00C74D81">
        <w:rPr>
          <w:rFonts w:cs="Arial"/>
          <w:sz w:val="24"/>
          <w:lang w:eastAsia="zh-CN"/>
        </w:rPr>
        <w:t>, 202</w:t>
      </w:r>
      <w:r w:rsidR="00AD4681">
        <w:rPr>
          <w:rFonts w:cs="Arial"/>
          <w:sz w:val="24"/>
          <w:lang w:eastAsia="zh-CN"/>
        </w:rPr>
        <w:t>2</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CC01C8D"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8E1C52">
        <w:rPr>
          <w:rFonts w:eastAsia="SimSun" w:cs="Arial"/>
          <w:b/>
          <w:bCs/>
          <w:kern w:val="2"/>
          <w:sz w:val="24"/>
          <w:szCs w:val="22"/>
          <w:lang w:val="en-US" w:eastAsia="zh-CN"/>
        </w:rPr>
        <w:t>8</w:t>
      </w:r>
      <w:r w:rsidR="00D075F0">
        <w:rPr>
          <w:rFonts w:eastAsia="SimSun" w:cs="Arial"/>
          <w:b/>
          <w:bCs/>
          <w:kern w:val="2"/>
          <w:sz w:val="24"/>
          <w:szCs w:val="22"/>
          <w:lang w:val="en-US" w:eastAsia="zh-CN"/>
        </w:rPr>
        <w:t>.</w:t>
      </w:r>
      <w:r w:rsidR="008E1C52">
        <w:rPr>
          <w:rFonts w:eastAsia="SimSun" w:cs="Arial"/>
          <w:b/>
          <w:bCs/>
          <w:kern w:val="2"/>
          <w:sz w:val="24"/>
          <w:szCs w:val="22"/>
          <w:lang w:val="en-US" w:eastAsia="zh-CN"/>
        </w:rPr>
        <w:t>9</w:t>
      </w:r>
      <w:r w:rsidR="009F47BD">
        <w:rPr>
          <w:rFonts w:eastAsia="SimSun" w:cs="Arial" w:hint="eastAsia"/>
          <w:b/>
          <w:bCs/>
          <w:kern w:val="2"/>
          <w:sz w:val="24"/>
          <w:szCs w:val="22"/>
          <w:lang w:val="en-US" w:eastAsia="zh-CN"/>
        </w:rPr>
        <w:t>.</w:t>
      </w:r>
      <w:r w:rsidR="008E1C52">
        <w:rPr>
          <w:rFonts w:eastAsia="SimSun"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DFF090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04FED90" w14:textId="415DBA1E" w:rsidR="007916A2" w:rsidRPr="000D7DBB" w:rsidRDefault="0092224B" w:rsidP="000D7DBB">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3C0C28E" w14:textId="642E91FB" w:rsidR="00F76E00" w:rsidRPr="00052DC7" w:rsidRDefault="00A74B8F" w:rsidP="007916A2">
      <w:pPr>
        <w:widowControl/>
        <w:overflowPunct w:val="0"/>
        <w:autoSpaceDE w:val="0"/>
        <w:autoSpaceDN w:val="0"/>
        <w:adjustRightInd w:val="0"/>
        <w:spacing w:before="120" w:line="280" w:lineRule="atLeast"/>
        <w:rPr>
          <w:rFonts w:ascii="Times New Roman" w:hAnsi="Times New Roman"/>
        </w:rPr>
      </w:pPr>
      <w:r w:rsidRPr="00052DC7">
        <w:rPr>
          <w:rFonts w:ascii="Times New Roman" w:hAnsi="Times New Roman"/>
        </w:rPr>
        <w:t>T</w:t>
      </w:r>
      <w:r w:rsidR="007916A2" w:rsidRPr="00052DC7">
        <w:rPr>
          <w:rFonts w:ascii="Times New Roman" w:hAnsi="Times New Roman"/>
        </w:rPr>
        <w:t xml:space="preserve">he following agreements for </w:t>
      </w:r>
      <w:r w:rsidRPr="00052DC7">
        <w:rPr>
          <w:rFonts w:ascii="Times New Roman" w:hAnsi="Times New Roman"/>
        </w:rPr>
        <w:t>multi-path relaying are achieved in RAN2#119</w:t>
      </w:r>
      <w:r w:rsidR="006E2A45" w:rsidRPr="00052DC7">
        <w:rPr>
          <w:rFonts w:ascii="Times New Roman" w:hAnsi="Times New Roman"/>
        </w:rPr>
        <w:t>bis</w:t>
      </w:r>
      <w:r w:rsidRPr="00052DC7">
        <w:rPr>
          <w:rFonts w:ascii="Times New Roman" w:hAnsi="Times New Roman"/>
        </w:rPr>
        <w:t>-e.</w:t>
      </w:r>
    </w:p>
    <w:p w14:paraId="089FB6A2"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Agreements:</w:t>
      </w:r>
    </w:p>
    <w:p w14:paraId="722E1ED8"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Proposal 1-1A (modified): The following cases are to be supported for Scenario 1.</w:t>
      </w:r>
    </w:p>
    <w:p w14:paraId="6E6234EF"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A.</w:t>
      </w:r>
      <w:r>
        <w:tab/>
        <w:t xml:space="preserve">The remote UE operating only on the direct path adds the indirect path under the same </w:t>
      </w:r>
      <w:proofErr w:type="gramStart"/>
      <w:r>
        <w:t>gNB;</w:t>
      </w:r>
      <w:proofErr w:type="gramEnd"/>
      <w:r>
        <w:t xml:space="preserve"> </w:t>
      </w:r>
    </w:p>
    <w:p w14:paraId="4895A764"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B.</w:t>
      </w:r>
      <w:r>
        <w:tab/>
        <w:t xml:space="preserve">The remote UE operating only on the indirect path adds the direct path under the same </w:t>
      </w:r>
      <w:proofErr w:type="gramStart"/>
      <w:r>
        <w:t>gNB;</w:t>
      </w:r>
      <w:proofErr w:type="gramEnd"/>
      <w:r>
        <w:t xml:space="preserve"> </w:t>
      </w:r>
    </w:p>
    <w:p w14:paraId="304376D4"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C.</w:t>
      </w:r>
      <w:r>
        <w:tab/>
        <w:t xml:space="preserve">The remote UE operating in multi-path releases the indirect </w:t>
      </w:r>
      <w:proofErr w:type="gramStart"/>
      <w:r>
        <w:t>path;</w:t>
      </w:r>
      <w:proofErr w:type="gramEnd"/>
    </w:p>
    <w:p w14:paraId="27327224"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D.</w:t>
      </w:r>
      <w:r>
        <w:tab/>
        <w:t xml:space="preserve">The remote UE operating in multi-path releases the direct </w:t>
      </w:r>
      <w:proofErr w:type="gramStart"/>
      <w:r>
        <w:t>path;</w:t>
      </w:r>
      <w:proofErr w:type="gramEnd"/>
    </w:p>
    <w:p w14:paraId="5551A1B9"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G.</w:t>
      </w:r>
      <w:r>
        <w:tab/>
        <w:t>The remote UE operating in multi-path changes to a new relay UE for the indirect path while keeping the direct path under the same gNB</w:t>
      </w:r>
      <w:r w:rsidRPr="00686E4A">
        <w:t xml:space="preserve">. </w:t>
      </w:r>
      <w:r w:rsidRPr="007925EE">
        <w:rPr>
          <w:highlight w:val="yellow"/>
        </w:rPr>
        <w:t xml:space="preserve"> FFS if this case would be supported via separate release-and-add (A+C in separate reconfigurations) or a single switch procedure (</w:t>
      </w:r>
      <w:proofErr w:type="gramStart"/>
      <w:r w:rsidRPr="007925EE">
        <w:rPr>
          <w:highlight w:val="yellow"/>
        </w:rPr>
        <w:t>e.g.</w:t>
      </w:r>
      <w:proofErr w:type="gramEnd"/>
      <w:r w:rsidRPr="007925EE">
        <w:rPr>
          <w:highlight w:val="yellow"/>
        </w:rPr>
        <w:t xml:space="preserve"> similar to i2i service continuity).</w:t>
      </w:r>
    </w:p>
    <w:p w14:paraId="37B61D76"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p>
    <w:p w14:paraId="6094F6E1"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Proposal 1-1B (modified): The following case is to be not supported for Scenario 1 as a group mobility scenario.</w:t>
      </w:r>
    </w:p>
    <w:p w14:paraId="4DD00CB9" w14:textId="77777777" w:rsidR="007925EE" w:rsidRDefault="007925EE" w:rsidP="007925EE">
      <w:pPr>
        <w:pStyle w:val="Doc-text2"/>
        <w:pBdr>
          <w:top w:val="single" w:sz="4" w:space="1" w:color="auto"/>
          <w:left w:val="single" w:sz="4" w:space="4" w:color="auto"/>
          <w:bottom w:val="single" w:sz="4" w:space="1" w:color="auto"/>
          <w:right w:val="single" w:sz="4" w:space="4" w:color="auto"/>
        </w:pBdr>
      </w:pPr>
      <w:r>
        <w:t>F.</w:t>
      </w:r>
      <w:r>
        <w:tab/>
        <w:t xml:space="preserve">The remote UE configured with multi-path keeps the serving relay UE for the indirect path and the serving cell of the remote UE for the direct path while the serving relay UE changes the serving cell of the relay UE under the same </w:t>
      </w:r>
      <w:proofErr w:type="gramStart"/>
      <w:r>
        <w:t>gNB;</w:t>
      </w:r>
      <w:proofErr w:type="gramEnd"/>
    </w:p>
    <w:p w14:paraId="6C56E8ED" w14:textId="77777777" w:rsidR="00361ED8" w:rsidRDefault="00361ED8" w:rsidP="00361ED8">
      <w:pPr>
        <w:pStyle w:val="Doc-text2"/>
        <w:ind w:left="0" w:firstLine="0"/>
      </w:pPr>
    </w:p>
    <w:p w14:paraId="5D32B5BF" w14:textId="77777777" w:rsidR="00361ED8" w:rsidRDefault="00361ED8" w:rsidP="00361ED8">
      <w:pPr>
        <w:pStyle w:val="Doc-text2"/>
        <w:pBdr>
          <w:top w:val="single" w:sz="4" w:space="1" w:color="auto"/>
          <w:left w:val="single" w:sz="4" w:space="4" w:color="auto"/>
          <w:bottom w:val="single" w:sz="4" w:space="1" w:color="auto"/>
          <w:right w:val="single" w:sz="4" w:space="4" w:color="auto"/>
        </w:pBdr>
      </w:pPr>
      <w:r>
        <w:t>Agreement:</w:t>
      </w:r>
    </w:p>
    <w:p w14:paraId="7D733EB8" w14:textId="77777777" w:rsidR="00361ED8" w:rsidRDefault="00361ED8" w:rsidP="00361ED8">
      <w:pPr>
        <w:pStyle w:val="Doc-text2"/>
        <w:pBdr>
          <w:top w:val="single" w:sz="4" w:space="1" w:color="auto"/>
          <w:left w:val="single" w:sz="4" w:space="4" w:color="auto"/>
          <w:bottom w:val="single" w:sz="4" w:space="1" w:color="auto"/>
          <w:right w:val="single" w:sz="4" w:space="4" w:color="auto"/>
        </w:pBdr>
      </w:pPr>
      <w:r>
        <w:t>The following case can be supported via separate release-and-add for scenario 1 (B+D in separate reconfigurations):</w:t>
      </w:r>
    </w:p>
    <w:p w14:paraId="493A0CFB" w14:textId="77777777" w:rsidR="00361ED8" w:rsidRDefault="00361ED8" w:rsidP="00361ED8">
      <w:pPr>
        <w:pStyle w:val="Doc-text2"/>
        <w:pBdr>
          <w:top w:val="single" w:sz="4" w:space="1" w:color="auto"/>
          <w:left w:val="single" w:sz="4" w:space="4" w:color="auto"/>
          <w:bottom w:val="single" w:sz="4" w:space="1" w:color="auto"/>
          <w:right w:val="single" w:sz="4" w:space="4" w:color="auto"/>
        </w:pBdr>
      </w:pPr>
      <w:r>
        <w:t>E.</w:t>
      </w:r>
      <w:r>
        <w:tab/>
        <w:t>The remote UE operating in multi-path changes the direct path to a different cell of the same gNB while using the serving relay UE for the indirect path under the same gNB.</w:t>
      </w:r>
    </w:p>
    <w:p w14:paraId="5310E800" w14:textId="77777777" w:rsidR="00361ED8" w:rsidRDefault="00361ED8" w:rsidP="00361ED8">
      <w:pPr>
        <w:pStyle w:val="Doc-text2"/>
        <w:pBdr>
          <w:top w:val="single" w:sz="4" w:space="1" w:color="auto"/>
          <w:left w:val="single" w:sz="4" w:space="4" w:color="auto"/>
          <w:bottom w:val="single" w:sz="4" w:space="1" w:color="auto"/>
          <w:right w:val="single" w:sz="4" w:space="4" w:color="auto"/>
        </w:pBdr>
      </w:pPr>
      <w:r w:rsidRPr="004362C1">
        <w:rPr>
          <w:highlight w:val="yellow"/>
        </w:rPr>
        <w:t>FFS if a single procedure for this case would be supported.</w:t>
      </w:r>
    </w:p>
    <w:p w14:paraId="13A998C8" w14:textId="6544C224" w:rsidR="00361ED8" w:rsidRDefault="00361ED8" w:rsidP="007925EE">
      <w:pPr>
        <w:pStyle w:val="Doc-text2"/>
      </w:pPr>
    </w:p>
    <w:p w14:paraId="2F7384E8" w14:textId="77777777" w:rsidR="00081DAB" w:rsidRDefault="00081DAB" w:rsidP="00081DAB">
      <w:pPr>
        <w:pStyle w:val="Doc-text2"/>
        <w:pBdr>
          <w:top w:val="single" w:sz="4" w:space="1" w:color="auto"/>
          <w:left w:val="single" w:sz="4" w:space="4" w:color="auto"/>
          <w:bottom w:val="single" w:sz="4" w:space="1" w:color="auto"/>
          <w:right w:val="single" w:sz="4" w:space="4" w:color="auto"/>
        </w:pBdr>
      </w:pPr>
      <w:r>
        <w:t>Agreements:</w:t>
      </w:r>
    </w:p>
    <w:p w14:paraId="7DBE938A" w14:textId="77777777" w:rsidR="00081DAB" w:rsidRDefault="00081DAB" w:rsidP="00081DAB">
      <w:pPr>
        <w:pStyle w:val="Doc-text2"/>
        <w:pBdr>
          <w:top w:val="single" w:sz="4" w:space="1" w:color="auto"/>
          <w:left w:val="single" w:sz="4" w:space="4" w:color="auto"/>
          <w:bottom w:val="single" w:sz="4" w:space="1" w:color="auto"/>
          <w:right w:val="single" w:sz="4" w:space="4" w:color="auto"/>
        </w:pBdr>
      </w:pPr>
      <w:r>
        <w:t>Proposal 1</w:t>
      </w:r>
      <w:r>
        <w:tab/>
        <w:t>[21/21] Multi-path Relay is applicable to RRC_CONNECTED [18/18] remote-UE, for scenario-1 and scenario-2.</w:t>
      </w:r>
    </w:p>
    <w:p w14:paraId="132F1E7B" w14:textId="77777777" w:rsidR="00081DAB" w:rsidRDefault="00081DAB" w:rsidP="00081DAB">
      <w:pPr>
        <w:pStyle w:val="Doc-text2"/>
        <w:pBdr>
          <w:top w:val="single" w:sz="4" w:space="1" w:color="auto"/>
          <w:left w:val="single" w:sz="4" w:space="4" w:color="auto"/>
          <w:bottom w:val="single" w:sz="4" w:space="1" w:color="auto"/>
          <w:right w:val="single" w:sz="4" w:space="4" w:color="auto"/>
        </w:pBdr>
      </w:pPr>
      <w:r>
        <w:t>Proposal 3</w:t>
      </w:r>
      <w:r>
        <w:tab/>
        <w:t>[21/21] Multi-path Relay is NOT applicable to RRC_IDLE [18/18] remote-UE, for scenario-1 and scenario-2.</w:t>
      </w:r>
    </w:p>
    <w:p w14:paraId="11B10637" w14:textId="77777777" w:rsidR="00081DAB" w:rsidRDefault="00081DAB" w:rsidP="00081DAB">
      <w:pPr>
        <w:pStyle w:val="Doc-text2"/>
        <w:pBdr>
          <w:top w:val="single" w:sz="4" w:space="1" w:color="auto"/>
          <w:left w:val="single" w:sz="4" w:space="4" w:color="auto"/>
          <w:bottom w:val="single" w:sz="4" w:space="1" w:color="auto"/>
          <w:right w:val="single" w:sz="4" w:space="4" w:color="auto"/>
        </w:pBdr>
      </w:pPr>
      <w:r>
        <w:t>Proposal 10</w:t>
      </w:r>
      <w:r>
        <w:tab/>
        <w:t>[21/21] For multi-path Relay, support RRC_IDLE/RRC_INACTIVE target relay UE, for the path switching scenario where there is an addition of indirect path or a change of indirect path.</w:t>
      </w:r>
    </w:p>
    <w:p w14:paraId="4F4821EE" w14:textId="77777777" w:rsidR="00081DAB" w:rsidRDefault="00081DAB" w:rsidP="00081DAB">
      <w:pPr>
        <w:pStyle w:val="Doc-text2"/>
        <w:pBdr>
          <w:top w:val="single" w:sz="4" w:space="1" w:color="auto"/>
          <w:left w:val="single" w:sz="4" w:space="4" w:color="auto"/>
          <w:bottom w:val="single" w:sz="4" w:space="1" w:color="auto"/>
          <w:right w:val="single" w:sz="4" w:space="4" w:color="auto"/>
        </w:pBdr>
      </w:pPr>
      <w:r>
        <w:lastRenderedPageBreak/>
        <w:t>Proposal 12</w:t>
      </w:r>
      <w:r>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w:t>
      </w:r>
    </w:p>
    <w:p w14:paraId="1D4A78E9" w14:textId="77777777" w:rsidR="00081DAB" w:rsidRDefault="00081DAB" w:rsidP="00081DAB">
      <w:pPr>
        <w:pStyle w:val="Doc-text2"/>
        <w:pBdr>
          <w:top w:val="single" w:sz="4" w:space="1" w:color="auto"/>
          <w:left w:val="single" w:sz="4" w:space="4" w:color="auto"/>
          <w:bottom w:val="single" w:sz="4" w:space="1" w:color="auto"/>
          <w:right w:val="single" w:sz="4" w:space="4" w:color="auto"/>
        </w:pBdr>
      </w:pPr>
      <w:r>
        <w:t>FFS whether there is impact to layers under our control from a failure of the UE-UE link in scenario 2.</w:t>
      </w:r>
    </w:p>
    <w:p w14:paraId="19D8DBC3" w14:textId="77777777" w:rsidR="00081DAB" w:rsidRDefault="00081DAB" w:rsidP="007925EE">
      <w:pPr>
        <w:pStyle w:val="Doc-text2"/>
      </w:pPr>
    </w:p>
    <w:p w14:paraId="300EC0E8" w14:textId="77777777" w:rsidR="007248CD" w:rsidRDefault="007248CD" w:rsidP="007248CD">
      <w:pPr>
        <w:pStyle w:val="Doc-text2"/>
        <w:pBdr>
          <w:top w:val="single" w:sz="4" w:space="1" w:color="auto"/>
          <w:left w:val="single" w:sz="4" w:space="4" w:color="auto"/>
          <w:bottom w:val="single" w:sz="4" w:space="1" w:color="auto"/>
          <w:right w:val="single" w:sz="4" w:space="4" w:color="auto"/>
        </w:pBdr>
      </w:pPr>
      <w:r>
        <w:t>Agreements:</w:t>
      </w:r>
    </w:p>
    <w:p w14:paraId="410B525B" w14:textId="77777777" w:rsidR="007248CD" w:rsidRDefault="007248CD" w:rsidP="007248CD">
      <w:pPr>
        <w:pStyle w:val="Doc-text2"/>
        <w:pBdr>
          <w:top w:val="single" w:sz="4" w:space="1" w:color="auto"/>
          <w:left w:val="single" w:sz="4" w:space="4" w:color="auto"/>
          <w:bottom w:val="single" w:sz="4" w:space="1" w:color="auto"/>
          <w:right w:val="single" w:sz="4" w:space="4" w:color="auto"/>
        </w:pBdr>
      </w:pPr>
      <w:r>
        <w:t>Alternative proposal 7-1 (modified): FFS CPDU submission; if legacy CPDU submission behaviour is supported, the primary RLC entity of the MP split bearer for DRB can be configured on any of the paths for Scenario 1.</w:t>
      </w:r>
    </w:p>
    <w:p w14:paraId="6A63513C" w14:textId="77777777" w:rsidR="007248CD" w:rsidRDefault="007248CD" w:rsidP="007248CD">
      <w:pPr>
        <w:pStyle w:val="Doc-text2"/>
        <w:pBdr>
          <w:top w:val="single" w:sz="4" w:space="1" w:color="auto"/>
          <w:left w:val="single" w:sz="4" w:space="4" w:color="auto"/>
          <w:bottom w:val="single" w:sz="4" w:space="1" w:color="auto"/>
          <w:right w:val="single" w:sz="4" w:space="4" w:color="auto"/>
        </w:pBdr>
      </w:pPr>
      <w:r>
        <w:t>Proposal 8-1 (modified): PDCP DRB duplication is supported for the MP split bearer in Scenario 1 based on the existing framework.</w:t>
      </w:r>
    </w:p>
    <w:p w14:paraId="7F306560" w14:textId="77777777" w:rsidR="007248CD" w:rsidRDefault="007248CD" w:rsidP="007248CD">
      <w:pPr>
        <w:pStyle w:val="Doc-text2"/>
        <w:pBdr>
          <w:top w:val="single" w:sz="4" w:space="1" w:color="auto"/>
          <w:left w:val="single" w:sz="4" w:space="4" w:color="auto"/>
          <w:bottom w:val="single" w:sz="4" w:space="1" w:color="auto"/>
          <w:right w:val="single" w:sz="4" w:space="4" w:color="auto"/>
        </w:pBdr>
      </w:pPr>
    </w:p>
    <w:p w14:paraId="7EAE1A5E" w14:textId="77777777" w:rsidR="007248CD" w:rsidRDefault="007248CD" w:rsidP="007248CD">
      <w:pPr>
        <w:pStyle w:val="Doc-text2"/>
        <w:pBdr>
          <w:top w:val="single" w:sz="4" w:space="1" w:color="auto"/>
          <w:left w:val="single" w:sz="4" w:space="4" w:color="auto"/>
          <w:bottom w:val="single" w:sz="4" w:space="1" w:color="auto"/>
          <w:right w:val="single" w:sz="4" w:space="4" w:color="auto"/>
        </w:pBdr>
      </w:pPr>
      <w:r>
        <w:t>Proposal 8-2 (modified): PDCP DRB duplication is supported for the MP split bearer in Scenario 2 based on the existing framework.</w:t>
      </w:r>
    </w:p>
    <w:p w14:paraId="78368A25" w14:textId="77777777" w:rsidR="007248CD" w:rsidRDefault="007248CD" w:rsidP="007248CD">
      <w:pPr>
        <w:pStyle w:val="Doc-text2"/>
        <w:pBdr>
          <w:top w:val="single" w:sz="4" w:space="1" w:color="auto"/>
          <w:left w:val="single" w:sz="4" w:space="4" w:color="auto"/>
          <w:bottom w:val="single" w:sz="4" w:space="1" w:color="auto"/>
          <w:right w:val="single" w:sz="4" w:space="4" w:color="auto"/>
        </w:pBdr>
      </w:pPr>
    </w:p>
    <w:p w14:paraId="5F5EB356" w14:textId="77777777" w:rsidR="007248CD" w:rsidRDefault="007248CD" w:rsidP="007248CD">
      <w:pPr>
        <w:pStyle w:val="Doc-text2"/>
        <w:pBdr>
          <w:top w:val="single" w:sz="4" w:space="1" w:color="auto"/>
          <w:left w:val="single" w:sz="4" w:space="4" w:color="auto"/>
          <w:bottom w:val="single" w:sz="4" w:space="1" w:color="auto"/>
          <w:right w:val="single" w:sz="4" w:space="4" w:color="auto"/>
        </w:pBdr>
      </w:pPr>
      <w:r>
        <w:t>Note: Alternative proposal 7-1 was edited after the session to clarify the wording.</w:t>
      </w:r>
    </w:p>
    <w:p w14:paraId="405FA376" w14:textId="77777777" w:rsidR="007248CD" w:rsidRDefault="007248CD" w:rsidP="007925EE">
      <w:pPr>
        <w:pStyle w:val="Doc-text2"/>
      </w:pPr>
    </w:p>
    <w:p w14:paraId="3D68E205" w14:textId="77777777" w:rsidR="00942649" w:rsidRDefault="00942649" w:rsidP="00942649">
      <w:pPr>
        <w:pStyle w:val="Doc-text2"/>
        <w:pBdr>
          <w:top w:val="single" w:sz="4" w:space="1" w:color="auto"/>
          <w:left w:val="single" w:sz="4" w:space="4" w:color="auto"/>
          <w:bottom w:val="single" w:sz="4" w:space="1" w:color="auto"/>
          <w:right w:val="single" w:sz="4" w:space="4" w:color="auto"/>
        </w:pBdr>
      </w:pPr>
      <w:r>
        <w:t>Agreements:</w:t>
      </w:r>
    </w:p>
    <w:p w14:paraId="7BB3A27E" w14:textId="77777777" w:rsidR="00942649" w:rsidRDefault="00942649" w:rsidP="00942649">
      <w:pPr>
        <w:pStyle w:val="Doc-text2"/>
        <w:pBdr>
          <w:top w:val="single" w:sz="4" w:space="1" w:color="auto"/>
          <w:left w:val="single" w:sz="4" w:space="4" w:color="auto"/>
          <w:bottom w:val="single" w:sz="4" w:space="1" w:color="auto"/>
          <w:right w:val="single" w:sz="4" w:space="4" w:color="auto"/>
        </w:pBdr>
      </w:pPr>
      <w:r>
        <w:t>Alternative proposal 7-1 (modified): FFS CPDU submission; if legacy CPDU submission behaviour is supported, the primary RLC entity of the MP split bearer for DRB can be configured on any of the paths for Scenario 1.</w:t>
      </w:r>
    </w:p>
    <w:p w14:paraId="356DC352" w14:textId="77777777" w:rsidR="00942649" w:rsidRDefault="00942649" w:rsidP="00942649">
      <w:pPr>
        <w:pStyle w:val="Doc-text2"/>
        <w:pBdr>
          <w:top w:val="single" w:sz="4" w:space="1" w:color="auto"/>
          <w:left w:val="single" w:sz="4" w:space="4" w:color="auto"/>
          <w:bottom w:val="single" w:sz="4" w:space="1" w:color="auto"/>
          <w:right w:val="single" w:sz="4" w:space="4" w:color="auto"/>
        </w:pBdr>
      </w:pPr>
      <w:r>
        <w:t>Proposal 8-1 (modified): PDCP DRB duplication is supported for the MP split bearer in Scenario 1 based on the existing framework.</w:t>
      </w:r>
    </w:p>
    <w:p w14:paraId="4EEAEAE4" w14:textId="77777777" w:rsidR="00942649" w:rsidRDefault="00942649" w:rsidP="00942649">
      <w:pPr>
        <w:pStyle w:val="Doc-text2"/>
        <w:pBdr>
          <w:top w:val="single" w:sz="4" w:space="1" w:color="auto"/>
          <w:left w:val="single" w:sz="4" w:space="4" w:color="auto"/>
          <w:bottom w:val="single" w:sz="4" w:space="1" w:color="auto"/>
          <w:right w:val="single" w:sz="4" w:space="4" w:color="auto"/>
        </w:pBdr>
      </w:pPr>
    </w:p>
    <w:p w14:paraId="25421F52" w14:textId="77777777" w:rsidR="00942649" w:rsidRDefault="00942649" w:rsidP="00942649">
      <w:pPr>
        <w:pStyle w:val="Doc-text2"/>
        <w:pBdr>
          <w:top w:val="single" w:sz="4" w:space="1" w:color="auto"/>
          <w:left w:val="single" w:sz="4" w:space="4" w:color="auto"/>
          <w:bottom w:val="single" w:sz="4" w:space="1" w:color="auto"/>
          <w:right w:val="single" w:sz="4" w:space="4" w:color="auto"/>
        </w:pBdr>
      </w:pPr>
      <w:r>
        <w:t>Proposal 8-2 (modified): PDCP DRB duplication is supported for the MP split bearer in Scenario 2 based on the existing framework.</w:t>
      </w:r>
    </w:p>
    <w:p w14:paraId="74B8553E" w14:textId="77777777" w:rsidR="00942649" w:rsidRDefault="00942649" w:rsidP="00942649">
      <w:pPr>
        <w:pStyle w:val="Doc-text2"/>
        <w:pBdr>
          <w:top w:val="single" w:sz="4" w:space="1" w:color="auto"/>
          <w:left w:val="single" w:sz="4" w:space="4" w:color="auto"/>
          <w:bottom w:val="single" w:sz="4" w:space="1" w:color="auto"/>
          <w:right w:val="single" w:sz="4" w:space="4" w:color="auto"/>
        </w:pBdr>
      </w:pPr>
    </w:p>
    <w:p w14:paraId="5EAB1E2A" w14:textId="77777777" w:rsidR="00942649" w:rsidRDefault="00942649" w:rsidP="00942649">
      <w:pPr>
        <w:pStyle w:val="Doc-text2"/>
        <w:pBdr>
          <w:top w:val="single" w:sz="4" w:space="1" w:color="auto"/>
          <w:left w:val="single" w:sz="4" w:space="4" w:color="auto"/>
          <w:bottom w:val="single" w:sz="4" w:space="1" w:color="auto"/>
          <w:right w:val="single" w:sz="4" w:space="4" w:color="auto"/>
        </w:pBdr>
      </w:pPr>
      <w:r>
        <w:t>Note: Alternative proposal 7-1 was edited after the session to clarify the wording.</w:t>
      </w:r>
    </w:p>
    <w:p w14:paraId="01AC9F7F" w14:textId="018CADF9" w:rsidR="006D622B" w:rsidRPr="00052DC7" w:rsidRDefault="002C7A52" w:rsidP="00A861FD">
      <w:pPr>
        <w:widowControl/>
        <w:overflowPunct w:val="0"/>
        <w:autoSpaceDE w:val="0"/>
        <w:autoSpaceDN w:val="0"/>
        <w:adjustRightInd w:val="0"/>
        <w:spacing w:before="120" w:line="280" w:lineRule="atLeast"/>
        <w:rPr>
          <w:rFonts w:ascii="Times New Roman" w:hAnsi="Times New Roman"/>
          <w:sz w:val="20"/>
          <w:szCs w:val="20"/>
        </w:rPr>
      </w:pPr>
      <w:r w:rsidRPr="00052DC7">
        <w:rPr>
          <w:rFonts w:ascii="Times New Roman" w:eastAsia="MS Mincho" w:hAnsi="Times New Roman"/>
          <w:lang w:eastAsia="ja-JP"/>
        </w:rPr>
        <w:t xml:space="preserve">In this contribution, we </w:t>
      </w:r>
      <w:r w:rsidR="00A74B8F" w:rsidRPr="00052DC7">
        <w:rPr>
          <w:rFonts w:ascii="Times New Roman" w:eastAsia="MS Mincho" w:hAnsi="Times New Roman"/>
          <w:lang w:eastAsia="ja-JP"/>
        </w:rPr>
        <w:t xml:space="preserve">further </w:t>
      </w:r>
      <w:r w:rsidRPr="00052DC7">
        <w:rPr>
          <w:rFonts w:ascii="Times New Roman" w:eastAsia="MS Mincho" w:hAnsi="Times New Roman"/>
          <w:lang w:eastAsia="ja-JP"/>
        </w:rPr>
        <w:t xml:space="preserve">discuss </w:t>
      </w:r>
      <w:bookmarkStart w:id="4" w:name="_Hlk109838749"/>
      <w:r w:rsidR="00A74B8F" w:rsidRPr="00052DC7">
        <w:rPr>
          <w:rFonts w:ascii="Times New Roman" w:eastAsia="MS Mincho" w:hAnsi="Times New Roman"/>
          <w:lang w:eastAsia="ja-JP"/>
        </w:rPr>
        <w:t xml:space="preserve">the </w:t>
      </w:r>
      <w:r w:rsidR="000D7DBB" w:rsidRPr="00052DC7">
        <w:rPr>
          <w:rFonts w:ascii="Times New Roman" w:eastAsia="MS Mincho" w:hAnsi="Times New Roman"/>
          <w:lang w:eastAsia="ja-JP"/>
        </w:rPr>
        <w:t xml:space="preserve">related </w:t>
      </w:r>
      <w:r w:rsidR="00A74B8F" w:rsidRPr="00052DC7">
        <w:rPr>
          <w:rFonts w:ascii="Times New Roman" w:eastAsia="MS Mincho" w:hAnsi="Times New Roman"/>
          <w:lang w:eastAsia="ja-JP"/>
        </w:rPr>
        <w:t xml:space="preserve">issues in </w:t>
      </w:r>
      <w:r w:rsidR="00A74B8F" w:rsidRPr="00052DC7">
        <w:rPr>
          <w:rFonts w:ascii="Times New Roman" w:hAnsi="Times New Roman"/>
        </w:rPr>
        <w:t>multi-path relaying</w:t>
      </w:r>
      <w:r w:rsidR="00A74B8F" w:rsidRPr="00052DC7">
        <w:rPr>
          <w:rFonts w:ascii="Times New Roman" w:eastAsia="MS Mincho" w:hAnsi="Times New Roman"/>
          <w:lang w:eastAsia="ja-JP"/>
        </w:rPr>
        <w:t xml:space="preserve"> case</w:t>
      </w:r>
      <w:r w:rsidR="00FA2C29" w:rsidRPr="00052DC7">
        <w:rPr>
          <w:rFonts w:ascii="Times New Roman" w:eastAsia="MS Mincho" w:hAnsi="Times New Roman"/>
          <w:lang w:eastAsia="ja-JP"/>
        </w:rPr>
        <w:t>.</w:t>
      </w:r>
      <w:bookmarkEnd w:id="4"/>
      <w:r w:rsidRPr="00052DC7">
        <w:rPr>
          <w:rFonts w:ascii="Times New Roman" w:hAnsi="Times New Roman"/>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48A86ED" w14:textId="01BEAF32" w:rsidR="00C211C4" w:rsidRPr="00052DC7" w:rsidRDefault="007E0121" w:rsidP="00B063FB">
      <w:pPr>
        <w:widowControl/>
        <w:overflowPunct w:val="0"/>
        <w:autoSpaceDE w:val="0"/>
        <w:autoSpaceDN w:val="0"/>
        <w:adjustRightInd w:val="0"/>
        <w:spacing w:before="120" w:line="280" w:lineRule="atLeast"/>
        <w:rPr>
          <w:rFonts w:ascii="Times New Roman" w:hAnsi="Times New Roman"/>
          <w:b/>
          <w:bCs/>
          <w:u w:val="single"/>
        </w:rPr>
      </w:pPr>
      <w:r w:rsidRPr="00052DC7">
        <w:rPr>
          <w:rFonts w:ascii="Times New Roman" w:hAnsi="Times New Roman"/>
          <w:b/>
          <w:bCs/>
          <w:u w:val="single"/>
        </w:rPr>
        <w:t>M</w:t>
      </w:r>
      <w:r w:rsidR="00C211C4" w:rsidRPr="00052DC7">
        <w:rPr>
          <w:rFonts w:ascii="Times New Roman" w:hAnsi="Times New Roman"/>
          <w:b/>
          <w:bCs/>
          <w:u w:val="single"/>
        </w:rPr>
        <w:t>obility scenarios</w:t>
      </w:r>
    </w:p>
    <w:p w14:paraId="0E240702" w14:textId="19F9BF06" w:rsidR="004B7738" w:rsidRPr="00052DC7" w:rsidRDefault="00B44C23" w:rsidP="00F01987">
      <w:pPr>
        <w:spacing w:beforeLines="50" w:before="156" w:afterLines="50" w:after="156"/>
        <w:rPr>
          <w:rFonts w:ascii="Times New Roman" w:hAnsi="Times New Roman"/>
        </w:rPr>
      </w:pPr>
      <w:r w:rsidRPr="00052DC7">
        <w:rPr>
          <w:rFonts w:ascii="Times New Roman" w:hAnsi="Times New Roman"/>
        </w:rPr>
        <w:t xml:space="preserve">It has been </w:t>
      </w:r>
      <w:r w:rsidR="00E83224" w:rsidRPr="00052DC7">
        <w:rPr>
          <w:rFonts w:ascii="Times New Roman" w:hAnsi="Times New Roman"/>
        </w:rPr>
        <w:t>agreed that</w:t>
      </w:r>
      <w:r w:rsidR="00D21823" w:rsidRPr="00052DC7">
        <w:rPr>
          <w:rFonts w:ascii="Times New Roman" w:hAnsi="Times New Roman"/>
        </w:rPr>
        <w:t xml:space="preserve"> the relay change </w:t>
      </w:r>
      <w:r w:rsidR="0067091D" w:rsidRPr="00052DC7">
        <w:rPr>
          <w:rFonts w:ascii="Times New Roman" w:hAnsi="Times New Roman"/>
        </w:rPr>
        <w:t xml:space="preserve">for the remote UE </w:t>
      </w:r>
      <w:r w:rsidR="00D21823" w:rsidRPr="00052DC7">
        <w:rPr>
          <w:rFonts w:ascii="Times New Roman" w:hAnsi="Times New Roman"/>
        </w:rPr>
        <w:t>can be supported in multi-path</w:t>
      </w:r>
      <w:r w:rsidR="00BD5D2D" w:rsidRPr="00052DC7">
        <w:rPr>
          <w:rFonts w:ascii="Times New Roman" w:hAnsi="Times New Roman"/>
        </w:rPr>
        <w:t xml:space="preserve"> relaying</w:t>
      </w:r>
      <w:r w:rsidR="00D21823" w:rsidRPr="00052DC7">
        <w:rPr>
          <w:rFonts w:ascii="Times New Roman" w:hAnsi="Times New Roman"/>
        </w:rPr>
        <w:t xml:space="preserve"> case.</w:t>
      </w:r>
      <w:r w:rsidR="007F04DA" w:rsidRPr="00052DC7">
        <w:rPr>
          <w:rFonts w:ascii="Times New Roman" w:hAnsi="Times New Roman"/>
        </w:rPr>
        <w:t xml:space="preserve"> </w:t>
      </w:r>
      <w:r w:rsidR="00E83224" w:rsidRPr="00052DC7">
        <w:rPr>
          <w:rFonts w:ascii="Times New Roman" w:hAnsi="Times New Roman"/>
        </w:rPr>
        <w:t xml:space="preserve">Considering that it has been included in the scope of WI to enhance service continuity for the scenarios e.g., intra-gNB and inter gNB indirect-to-indirect path switching, it is natural to support the intra-gNB Relay change via a single switch procedure. </w:t>
      </w:r>
      <w:r w:rsidR="007F04DA" w:rsidRPr="00052DC7">
        <w:rPr>
          <w:rFonts w:ascii="Times New Roman" w:hAnsi="Times New Roman"/>
        </w:rPr>
        <w:t xml:space="preserve">Correspondingly, the related legacy timer, </w:t>
      </w:r>
      <w:r w:rsidR="00CF77C0" w:rsidRPr="00052DC7">
        <w:rPr>
          <w:rFonts w:ascii="Times New Roman" w:hAnsi="Times New Roman"/>
        </w:rPr>
        <w:t>e.g.,</w:t>
      </w:r>
      <w:r w:rsidR="007F04DA" w:rsidRPr="00052DC7">
        <w:rPr>
          <w:rFonts w:ascii="Times New Roman" w:hAnsi="Times New Roman"/>
        </w:rPr>
        <w:t xml:space="preserve"> T420 can also be reused in multi-path </w:t>
      </w:r>
      <w:r w:rsidR="00855D9A" w:rsidRPr="00052DC7">
        <w:rPr>
          <w:rFonts w:ascii="Times New Roman" w:hAnsi="Times New Roman"/>
        </w:rPr>
        <w:t xml:space="preserve">relaying </w:t>
      </w:r>
      <w:r w:rsidR="007F04DA" w:rsidRPr="00052DC7">
        <w:rPr>
          <w:rFonts w:ascii="Times New Roman" w:hAnsi="Times New Roman"/>
        </w:rPr>
        <w:t>case.</w:t>
      </w:r>
      <w:r w:rsidR="00F01D36" w:rsidRPr="00052DC7">
        <w:rPr>
          <w:rFonts w:ascii="Times New Roman" w:hAnsi="Times New Roman"/>
        </w:rPr>
        <w:t xml:space="preserve"> Similarly, the intra-gNB cell change can also be via a single procedure.</w:t>
      </w:r>
    </w:p>
    <w:p w14:paraId="2B3AB2FA" w14:textId="4AAFCE98" w:rsidR="00F01987" w:rsidRPr="00052DC7" w:rsidRDefault="006E2A45" w:rsidP="00F01987">
      <w:pPr>
        <w:spacing w:beforeLines="50" w:before="156" w:afterLines="50" w:after="156"/>
        <w:rPr>
          <w:rFonts w:ascii="Times New Roman" w:hAnsi="Times New Roman"/>
          <w:b/>
          <w:bCs/>
        </w:rPr>
      </w:pPr>
      <w:r w:rsidRPr="00052DC7">
        <w:rPr>
          <w:rFonts w:ascii="Times New Roman" w:hAnsi="Times New Roman"/>
          <w:b/>
          <w:bCs/>
        </w:rPr>
        <w:t xml:space="preserve">Proposal 1: Intra-gNB Relay change via a single switch procedure </w:t>
      </w:r>
      <w:r w:rsidR="00280894" w:rsidRPr="00052DC7">
        <w:rPr>
          <w:rFonts w:ascii="Times New Roman" w:hAnsi="Times New Roman"/>
          <w:b/>
          <w:bCs/>
        </w:rPr>
        <w:t>while the remote UE keeps the direct path under the same gNB</w:t>
      </w:r>
      <w:r w:rsidR="00AC5091" w:rsidRPr="00052DC7">
        <w:rPr>
          <w:rFonts w:ascii="Times New Roman" w:hAnsi="Times New Roman"/>
          <w:b/>
          <w:bCs/>
        </w:rPr>
        <w:t xml:space="preserve"> should be supported</w:t>
      </w:r>
      <w:r w:rsidRPr="00052DC7">
        <w:rPr>
          <w:rFonts w:ascii="Times New Roman" w:hAnsi="Times New Roman"/>
          <w:b/>
          <w:bCs/>
        </w:rPr>
        <w:t xml:space="preserve">. </w:t>
      </w:r>
    </w:p>
    <w:p w14:paraId="05F0EBE7" w14:textId="0AE47908" w:rsidR="00F01987" w:rsidRPr="00052DC7" w:rsidRDefault="008704E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917E5F" w:rsidRPr="00052DC7">
        <w:rPr>
          <w:rFonts w:ascii="Times New Roman" w:hAnsi="Times New Roman"/>
          <w:b/>
          <w:bCs/>
        </w:rPr>
        <w:t>2</w:t>
      </w:r>
      <w:r w:rsidR="00937DB2" w:rsidRPr="00052DC7">
        <w:rPr>
          <w:rFonts w:ascii="Times New Roman" w:hAnsi="Times New Roman"/>
          <w:b/>
          <w:bCs/>
        </w:rPr>
        <w:t xml:space="preserve">: </w:t>
      </w:r>
      <w:r w:rsidR="00F01987" w:rsidRPr="00052DC7">
        <w:rPr>
          <w:rFonts w:ascii="Times New Roman" w:hAnsi="Times New Roman"/>
          <w:b/>
          <w:bCs/>
        </w:rPr>
        <w:t>Legacy timer</w:t>
      </w:r>
      <w:r w:rsidR="0032040E" w:rsidRPr="00052DC7">
        <w:rPr>
          <w:rFonts w:ascii="Times New Roman" w:hAnsi="Times New Roman"/>
          <w:b/>
          <w:bCs/>
        </w:rPr>
        <w:t xml:space="preserve"> </w:t>
      </w:r>
      <w:r w:rsidR="00F01987" w:rsidRPr="00052DC7">
        <w:rPr>
          <w:rFonts w:ascii="Times New Roman" w:hAnsi="Times New Roman"/>
          <w:b/>
          <w:bCs/>
        </w:rPr>
        <w:t xml:space="preserve">T420 can be reused in </w:t>
      </w:r>
      <w:r w:rsidR="0032040E" w:rsidRPr="00052DC7">
        <w:rPr>
          <w:rFonts w:ascii="Times New Roman" w:hAnsi="Times New Roman"/>
          <w:b/>
          <w:bCs/>
        </w:rPr>
        <w:t>the case of relay change</w:t>
      </w:r>
      <w:r w:rsidR="00F01987" w:rsidRPr="00052DC7">
        <w:rPr>
          <w:rFonts w:ascii="Times New Roman" w:hAnsi="Times New Roman"/>
          <w:b/>
          <w:bCs/>
        </w:rPr>
        <w:t>.</w:t>
      </w:r>
    </w:p>
    <w:p w14:paraId="7A03E0EC" w14:textId="45510E5B" w:rsidR="00F01D36" w:rsidRPr="00052DC7" w:rsidRDefault="00F01D36" w:rsidP="00F01987">
      <w:pPr>
        <w:spacing w:beforeLines="50" w:before="156" w:afterLines="50" w:after="156"/>
        <w:rPr>
          <w:rFonts w:ascii="Times New Roman" w:hAnsi="Times New Roman"/>
          <w:b/>
          <w:bCs/>
        </w:rPr>
      </w:pPr>
      <w:r w:rsidRPr="00052DC7">
        <w:rPr>
          <w:rFonts w:ascii="Times New Roman" w:hAnsi="Times New Roman"/>
          <w:b/>
          <w:bCs/>
        </w:rPr>
        <w:lastRenderedPageBreak/>
        <w:t xml:space="preserve">Proposal </w:t>
      </w:r>
      <w:r w:rsidR="000538A8" w:rsidRPr="00052DC7">
        <w:rPr>
          <w:rFonts w:ascii="Times New Roman" w:hAnsi="Times New Roman"/>
          <w:b/>
          <w:bCs/>
        </w:rPr>
        <w:t>3</w:t>
      </w:r>
      <w:r w:rsidRPr="00052DC7">
        <w:rPr>
          <w:rFonts w:ascii="Times New Roman" w:hAnsi="Times New Roman"/>
          <w:b/>
          <w:bCs/>
        </w:rPr>
        <w:t>: Intra-gNB cell change via a single procedure while the remote UE keeps the indirect path under the same gNB should be supported.</w:t>
      </w:r>
    </w:p>
    <w:p w14:paraId="61E075E2" w14:textId="5E935B68" w:rsidR="00F5255A" w:rsidRPr="00052DC7" w:rsidRDefault="00CF0147" w:rsidP="00E003A0">
      <w:pPr>
        <w:rPr>
          <w:rFonts w:ascii="Times New Roman" w:hAnsi="Times New Roman"/>
        </w:rPr>
      </w:pPr>
      <w:r w:rsidRPr="00052DC7">
        <w:rPr>
          <w:rFonts w:ascii="Times New Roman" w:hAnsi="Times New Roman"/>
        </w:rPr>
        <w:t>To</w:t>
      </w:r>
      <w:r w:rsidR="004360FA" w:rsidRPr="00052DC7">
        <w:rPr>
          <w:rFonts w:ascii="Times New Roman" w:hAnsi="Times New Roman"/>
        </w:rPr>
        <w:t xml:space="preserve"> support the transmission via multiple path</w:t>
      </w:r>
      <w:r w:rsidR="001A777D" w:rsidRPr="00052DC7">
        <w:rPr>
          <w:rFonts w:ascii="Times New Roman" w:hAnsi="Times New Roman"/>
        </w:rPr>
        <w:t>s</w:t>
      </w:r>
      <w:r w:rsidR="004360FA" w:rsidRPr="00052DC7">
        <w:rPr>
          <w:rFonts w:ascii="Times New Roman" w:hAnsi="Times New Roman"/>
        </w:rPr>
        <w:t xml:space="preserve">, </w:t>
      </w:r>
      <w:r w:rsidR="005C3AFA" w:rsidRPr="00052DC7">
        <w:rPr>
          <w:rFonts w:ascii="Times New Roman" w:hAnsi="Times New Roman"/>
        </w:rPr>
        <w:t xml:space="preserve">no consensus has been reached although </w:t>
      </w:r>
      <w:r w:rsidR="004360FA" w:rsidRPr="00052DC7">
        <w:rPr>
          <w:rFonts w:ascii="Times New Roman" w:hAnsi="Times New Roman"/>
        </w:rPr>
        <w:t xml:space="preserve">the architecture </w:t>
      </w:r>
      <w:r w:rsidR="005C3AFA" w:rsidRPr="00052DC7">
        <w:rPr>
          <w:rFonts w:ascii="Times New Roman" w:hAnsi="Times New Roman"/>
        </w:rPr>
        <w:t xml:space="preserve">has </w:t>
      </w:r>
      <w:r w:rsidR="004360FA" w:rsidRPr="00052DC7">
        <w:rPr>
          <w:rFonts w:ascii="Times New Roman" w:hAnsi="Times New Roman"/>
        </w:rPr>
        <w:t>be</w:t>
      </w:r>
      <w:r w:rsidR="005C3AFA" w:rsidRPr="00052DC7">
        <w:rPr>
          <w:rFonts w:ascii="Times New Roman" w:hAnsi="Times New Roman"/>
        </w:rPr>
        <w:t>en</w:t>
      </w:r>
      <w:r w:rsidR="004360FA" w:rsidRPr="00052DC7">
        <w:rPr>
          <w:rFonts w:ascii="Times New Roman" w:hAnsi="Times New Roman"/>
        </w:rPr>
        <w:t xml:space="preserve"> discussed. Referring to the existing architecture, </w:t>
      </w:r>
      <w:r w:rsidR="00E2387D" w:rsidRPr="00052DC7">
        <w:rPr>
          <w:rFonts w:ascii="Times New Roman" w:hAnsi="Times New Roman"/>
        </w:rPr>
        <w:t>t</w:t>
      </w:r>
      <w:r w:rsidR="003E653A" w:rsidRPr="00052DC7">
        <w:rPr>
          <w:rFonts w:ascii="Times New Roman" w:hAnsi="Times New Roman"/>
        </w:rPr>
        <w:t xml:space="preserve">here is a high degree of similarity between multi-path and dual connectivity, for example there are more than one paths for both cases. Then, it is straightforward </w:t>
      </w:r>
      <w:r w:rsidR="00E003A0" w:rsidRPr="00052DC7">
        <w:rPr>
          <w:rFonts w:ascii="Times New Roman" w:hAnsi="Times New Roman"/>
        </w:rPr>
        <w:t>to configure the paths to primary path and secondary paths and the concept of cell group is ignored.</w:t>
      </w:r>
      <w:r w:rsidR="003E653A" w:rsidRPr="00052DC7">
        <w:rPr>
          <w:rFonts w:ascii="Times New Roman" w:hAnsi="Times New Roman"/>
        </w:rPr>
        <w:t xml:space="preserve"> </w:t>
      </w:r>
      <w:r w:rsidR="00E2387D" w:rsidRPr="00052DC7">
        <w:rPr>
          <w:rFonts w:ascii="Times New Roman" w:hAnsi="Times New Roman"/>
        </w:rPr>
        <w:t>On the other side, t</w:t>
      </w:r>
      <w:r w:rsidR="003E653A" w:rsidRPr="00052DC7">
        <w:rPr>
          <w:rFonts w:ascii="Times New Roman" w:hAnsi="Times New Roman"/>
        </w:rPr>
        <w:t>here also is difference between multi-path and dual connectivity, for example only one gNB involved</w:t>
      </w:r>
      <w:r w:rsidR="00BC0D20" w:rsidRPr="00052DC7">
        <w:rPr>
          <w:rFonts w:ascii="Times New Roman" w:hAnsi="Times New Roman"/>
        </w:rPr>
        <w:t xml:space="preserve"> in the </w:t>
      </w:r>
      <w:r w:rsidR="004928F9" w:rsidRPr="00052DC7">
        <w:rPr>
          <w:rFonts w:ascii="Times New Roman" w:hAnsi="Times New Roman"/>
        </w:rPr>
        <w:t xml:space="preserve">Rel-18 </w:t>
      </w:r>
      <w:r w:rsidR="00BC0D20" w:rsidRPr="00052DC7">
        <w:rPr>
          <w:rFonts w:ascii="Times New Roman" w:hAnsi="Times New Roman"/>
        </w:rPr>
        <w:t xml:space="preserve">multi-path </w:t>
      </w:r>
      <w:r w:rsidR="00741A50" w:rsidRPr="00052DC7">
        <w:rPr>
          <w:rFonts w:ascii="Times New Roman" w:hAnsi="Times New Roman"/>
        </w:rPr>
        <w:t xml:space="preserve">relaying </w:t>
      </w:r>
      <w:r w:rsidR="00BC0D20" w:rsidRPr="00052DC7">
        <w:rPr>
          <w:rFonts w:ascii="Times New Roman" w:hAnsi="Times New Roman"/>
        </w:rPr>
        <w:t>case</w:t>
      </w:r>
      <w:r w:rsidR="003E653A" w:rsidRPr="00052DC7">
        <w:rPr>
          <w:rFonts w:ascii="Times New Roman" w:hAnsi="Times New Roman"/>
        </w:rPr>
        <w:t>.</w:t>
      </w:r>
      <w:r w:rsidR="004928F9" w:rsidRPr="00052DC7">
        <w:rPr>
          <w:rFonts w:ascii="Times New Roman" w:hAnsi="Times New Roman"/>
        </w:rPr>
        <w:t xml:space="preserve"> Then, it may work in a new architecture, for example no concept of primary path/secondary path or MCG/SCG.</w:t>
      </w:r>
      <w:r w:rsidR="00330D9C" w:rsidRPr="00052DC7">
        <w:rPr>
          <w:rFonts w:ascii="Times New Roman" w:hAnsi="Times New Roman"/>
        </w:rPr>
        <w:t xml:space="preserve"> </w:t>
      </w:r>
      <w:r w:rsidR="00B0437F" w:rsidRPr="00052DC7">
        <w:rPr>
          <w:rFonts w:ascii="Times New Roman" w:hAnsi="Times New Roman"/>
        </w:rPr>
        <w:t>However, how to determine whether the path switching is successful in the case that multi-path is configured in target needs to be further discussed if there is no concept of primary path/secondary path</w:t>
      </w:r>
      <w:r w:rsidR="0047643D" w:rsidRPr="00052DC7">
        <w:rPr>
          <w:rFonts w:ascii="Times New Roman" w:hAnsi="Times New Roman"/>
        </w:rPr>
        <w:t xml:space="preserve"> or MCG/SCG</w:t>
      </w:r>
      <w:r w:rsidR="005C4138" w:rsidRPr="00052DC7">
        <w:rPr>
          <w:rFonts w:ascii="Times New Roman" w:hAnsi="Times New Roman"/>
        </w:rPr>
        <w:t>.</w:t>
      </w:r>
    </w:p>
    <w:p w14:paraId="56C535FA" w14:textId="74468D61" w:rsidR="00F01987" w:rsidRPr="00052DC7" w:rsidRDefault="00F01987" w:rsidP="007E0121">
      <w:pPr>
        <w:spacing w:beforeLines="50" w:before="156" w:afterLines="50" w:after="156"/>
        <w:rPr>
          <w:rFonts w:ascii="Times New Roman" w:hAnsi="Times New Roman"/>
          <w:b/>
          <w:bCs/>
        </w:rPr>
      </w:pPr>
      <w:r w:rsidRPr="00052DC7">
        <w:rPr>
          <w:rFonts w:ascii="Times New Roman" w:hAnsi="Times New Roman"/>
          <w:b/>
          <w:bCs/>
        </w:rPr>
        <w:t xml:space="preserve">Proposal </w:t>
      </w:r>
      <w:r w:rsidR="005A0586" w:rsidRPr="00052DC7">
        <w:rPr>
          <w:rFonts w:ascii="Times New Roman" w:hAnsi="Times New Roman"/>
          <w:b/>
          <w:bCs/>
        </w:rPr>
        <w:t>4</w:t>
      </w:r>
      <w:r w:rsidRPr="00052DC7">
        <w:rPr>
          <w:rFonts w:ascii="Times New Roman" w:hAnsi="Times New Roman"/>
          <w:b/>
          <w:bCs/>
        </w:rPr>
        <w:t xml:space="preserve">: </w:t>
      </w:r>
      <w:r w:rsidR="005E59A7" w:rsidRPr="00052DC7">
        <w:rPr>
          <w:rFonts w:ascii="Times New Roman" w:hAnsi="Times New Roman"/>
          <w:b/>
          <w:bCs/>
        </w:rPr>
        <w:t>The concept of</w:t>
      </w:r>
      <w:r w:rsidRPr="00052DC7">
        <w:rPr>
          <w:rFonts w:ascii="Times New Roman" w:hAnsi="Times New Roman"/>
          <w:b/>
          <w:bCs/>
        </w:rPr>
        <w:t xml:space="preserve"> primary path</w:t>
      </w:r>
      <w:r w:rsidR="000E324C" w:rsidRPr="00052DC7">
        <w:rPr>
          <w:rFonts w:ascii="Times New Roman" w:hAnsi="Times New Roman"/>
          <w:b/>
          <w:bCs/>
        </w:rPr>
        <w:t xml:space="preserve"> </w:t>
      </w:r>
      <w:r w:rsidR="005D1599" w:rsidRPr="00052DC7">
        <w:rPr>
          <w:rFonts w:ascii="Times New Roman" w:hAnsi="Times New Roman"/>
          <w:b/>
          <w:bCs/>
        </w:rPr>
        <w:t xml:space="preserve">for CP </w:t>
      </w:r>
      <w:r w:rsidR="005E59A7" w:rsidRPr="00052DC7">
        <w:rPr>
          <w:rFonts w:ascii="Times New Roman" w:hAnsi="Times New Roman"/>
          <w:b/>
          <w:bCs/>
        </w:rPr>
        <w:t>can be supported</w:t>
      </w:r>
      <w:r w:rsidRPr="00052DC7">
        <w:rPr>
          <w:rFonts w:ascii="Times New Roman" w:hAnsi="Times New Roman"/>
          <w:b/>
          <w:bCs/>
        </w:rPr>
        <w:t>.</w:t>
      </w:r>
    </w:p>
    <w:p w14:paraId="5A5B2A89" w14:textId="202A3D00" w:rsidR="00F01987" w:rsidRPr="00052DC7" w:rsidRDefault="005C4138" w:rsidP="00F01987">
      <w:pPr>
        <w:spacing w:beforeLines="50" w:before="156" w:afterLines="50" w:after="156"/>
        <w:rPr>
          <w:rFonts w:ascii="Times New Roman" w:hAnsi="Times New Roman"/>
          <w:b/>
          <w:bCs/>
        </w:rPr>
      </w:pPr>
      <w:r w:rsidRPr="00052DC7">
        <w:rPr>
          <w:rFonts w:ascii="Times New Roman" w:hAnsi="Times New Roman"/>
        </w:rPr>
        <w:t xml:space="preserve">Similar to the discussion of </w:t>
      </w:r>
      <w:r w:rsidR="005D1599" w:rsidRPr="00052DC7">
        <w:rPr>
          <w:rFonts w:ascii="Times New Roman" w:hAnsi="Times New Roman"/>
        </w:rPr>
        <w:t>mobility with DC</w:t>
      </w:r>
      <w:r w:rsidRPr="00052DC7">
        <w:rPr>
          <w:rFonts w:ascii="Times New Roman" w:hAnsi="Times New Roman"/>
        </w:rPr>
        <w:t xml:space="preserve">, there are several </w:t>
      </w:r>
      <w:r w:rsidR="00C119DC" w:rsidRPr="00052DC7">
        <w:rPr>
          <w:rFonts w:ascii="Times New Roman" w:hAnsi="Times New Roman"/>
        </w:rPr>
        <w:t>potential</w:t>
      </w:r>
      <w:r w:rsidRPr="00052DC7">
        <w:rPr>
          <w:rFonts w:ascii="Times New Roman" w:hAnsi="Times New Roman"/>
        </w:rPr>
        <w:t xml:space="preserve"> cases </w:t>
      </w:r>
      <w:r w:rsidR="00C119DC" w:rsidRPr="00052DC7">
        <w:rPr>
          <w:rFonts w:ascii="Times New Roman" w:hAnsi="Times New Roman"/>
        </w:rPr>
        <w:t xml:space="preserve">when considering the inter-gNB handover in </w:t>
      </w:r>
      <w:r w:rsidRPr="00052DC7">
        <w:rPr>
          <w:rFonts w:ascii="Times New Roman" w:hAnsi="Times New Roman"/>
        </w:rPr>
        <w:t xml:space="preserve">the multi-path </w:t>
      </w:r>
      <w:r w:rsidR="00741A50" w:rsidRPr="00052DC7">
        <w:rPr>
          <w:rFonts w:ascii="Times New Roman" w:hAnsi="Times New Roman"/>
        </w:rPr>
        <w:t xml:space="preserve">relaying </w:t>
      </w:r>
      <w:r w:rsidRPr="00052DC7">
        <w:rPr>
          <w:rFonts w:ascii="Times New Roman" w:hAnsi="Times New Roman"/>
        </w:rPr>
        <w:t>case.</w:t>
      </w:r>
      <w:r w:rsidR="00C24475" w:rsidRPr="00052DC7">
        <w:rPr>
          <w:rFonts w:ascii="Times New Roman" w:hAnsi="Times New Roman"/>
        </w:rPr>
        <w:t xml:space="preserve"> It could be one path or multi-path in the source </w:t>
      </w:r>
      <w:r w:rsidR="00CF0147" w:rsidRPr="00052DC7">
        <w:rPr>
          <w:rFonts w:ascii="Times New Roman" w:hAnsi="Times New Roman"/>
        </w:rPr>
        <w:t>side,</w:t>
      </w:r>
      <w:r w:rsidR="00C24475" w:rsidRPr="00052DC7">
        <w:rPr>
          <w:rFonts w:ascii="Times New Roman" w:hAnsi="Times New Roman"/>
        </w:rPr>
        <w:t xml:space="preserve"> and it could also be one path or multi-path in the target side. </w:t>
      </w:r>
      <w:r w:rsidR="00BB2472" w:rsidRPr="00052DC7">
        <w:rPr>
          <w:rFonts w:ascii="Times New Roman" w:hAnsi="Times New Roman"/>
        </w:rPr>
        <w:t xml:space="preserve">And for the indirect path, it can be further distinguished as </w:t>
      </w:r>
      <w:bookmarkStart w:id="6" w:name="_Hlk110357862"/>
      <w:r w:rsidR="00BB2472" w:rsidRPr="00052DC7">
        <w:rPr>
          <w:rFonts w:ascii="Times New Roman" w:hAnsi="Times New Roman"/>
        </w:rPr>
        <w:t>same or different relays in the source side and target side</w:t>
      </w:r>
      <w:bookmarkEnd w:id="6"/>
      <w:r w:rsidR="00BB2472" w:rsidRPr="00052DC7">
        <w:rPr>
          <w:rFonts w:ascii="Times New Roman" w:hAnsi="Times New Roman"/>
        </w:rPr>
        <w:t xml:space="preserve">. </w:t>
      </w:r>
      <w:r w:rsidR="00C24475" w:rsidRPr="00052DC7">
        <w:rPr>
          <w:rFonts w:ascii="Times New Roman" w:hAnsi="Times New Roman"/>
        </w:rPr>
        <w:t xml:space="preserve">Therefore, we list the three potential use cases to be discussed in multi-path </w:t>
      </w:r>
      <w:r w:rsidR="00741A50" w:rsidRPr="00052DC7">
        <w:rPr>
          <w:rFonts w:ascii="Times New Roman" w:hAnsi="Times New Roman"/>
        </w:rPr>
        <w:t xml:space="preserve">relaying </w:t>
      </w:r>
      <w:r w:rsidR="00C24475" w:rsidRPr="00052DC7">
        <w:rPr>
          <w:rFonts w:ascii="Times New Roman" w:hAnsi="Times New Roman"/>
        </w:rPr>
        <w:t>case.</w:t>
      </w:r>
    </w:p>
    <w:p w14:paraId="767BB789" w14:textId="6C540F80"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5A0586" w:rsidRPr="00052DC7">
        <w:rPr>
          <w:rFonts w:ascii="Times New Roman" w:hAnsi="Times New Roman"/>
          <w:b/>
          <w:bCs/>
        </w:rPr>
        <w:t>5</w:t>
      </w:r>
      <w:r w:rsidRPr="00052DC7">
        <w:rPr>
          <w:rFonts w:ascii="Times New Roman" w:hAnsi="Times New Roman"/>
          <w:b/>
          <w:bCs/>
        </w:rPr>
        <w:t xml:space="preserve">: The following Inter-gNB handover associated with </w:t>
      </w:r>
      <w:proofErr w:type="gramStart"/>
      <w:r w:rsidRPr="00052DC7">
        <w:rPr>
          <w:rFonts w:ascii="Times New Roman" w:hAnsi="Times New Roman"/>
          <w:b/>
          <w:bCs/>
        </w:rPr>
        <w:t>Multi-path</w:t>
      </w:r>
      <w:proofErr w:type="gramEnd"/>
      <w:r w:rsidRPr="00052DC7">
        <w:rPr>
          <w:rFonts w:ascii="Times New Roman" w:hAnsi="Times New Roman"/>
          <w:b/>
          <w:bCs/>
        </w:rPr>
        <w:t xml:space="preserve"> should be discussed.</w:t>
      </w:r>
    </w:p>
    <w:p w14:paraId="033D06F2"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1: Multi-path in source gNB-&gt; Only one path in target </w:t>
      </w:r>
      <w:proofErr w:type="gramStart"/>
      <w:r w:rsidRPr="00052DC7">
        <w:rPr>
          <w:rFonts w:ascii="Times New Roman" w:hAnsi="Times New Roman"/>
          <w:b/>
          <w:bCs/>
        </w:rPr>
        <w:t>gNB;</w:t>
      </w:r>
      <w:proofErr w:type="gramEnd"/>
    </w:p>
    <w:p w14:paraId="57403546"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2: One path in source-&gt;</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p>
    <w:p w14:paraId="5548A396" w14:textId="45FC691D"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3: Multi-path in source gNB-&gt; </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r w:rsidR="00BB2472" w:rsidRPr="00052DC7">
        <w:rPr>
          <w:rFonts w:ascii="Times New Roman" w:hAnsi="Times New Roman"/>
          <w:b/>
          <w:bCs/>
        </w:rPr>
        <w:t xml:space="preserve"> (different relays in the source gNB and target gNB)</w:t>
      </w:r>
      <w:r w:rsidRPr="00052DC7">
        <w:rPr>
          <w:rFonts w:ascii="Times New Roman" w:hAnsi="Times New Roman"/>
          <w:b/>
          <w:bCs/>
        </w:rPr>
        <w:t>;</w:t>
      </w:r>
    </w:p>
    <w:p w14:paraId="727C3515" w14:textId="2CD3910F" w:rsidR="00C21487" w:rsidRPr="00052DC7" w:rsidRDefault="00C21487" w:rsidP="00C21487">
      <w:pPr>
        <w:spacing w:beforeLines="50" w:before="156" w:afterLines="50" w:after="156"/>
        <w:rPr>
          <w:rFonts w:ascii="Times New Roman" w:hAnsi="Times New Roman"/>
          <w:sz w:val="20"/>
          <w:szCs w:val="20"/>
          <w:lang w:val="en-GB"/>
        </w:rPr>
      </w:pPr>
      <w:r w:rsidRPr="00052DC7">
        <w:rPr>
          <w:rFonts w:ascii="Times New Roman" w:hAnsi="Times New Roman"/>
        </w:rPr>
        <w:t xml:space="preserve">For </w:t>
      </w:r>
      <w:r w:rsidR="005D1599" w:rsidRPr="00052DC7">
        <w:rPr>
          <w:rFonts w:ascii="Times New Roman" w:hAnsi="Times New Roman"/>
        </w:rPr>
        <w:t>scenario 2</w:t>
      </w:r>
      <w:r w:rsidRPr="00052DC7">
        <w:rPr>
          <w:rFonts w:ascii="Times New Roman" w:hAnsi="Times New Roman"/>
        </w:rPr>
        <w:t xml:space="preserve">, the remote UE and </w:t>
      </w:r>
      <w:r w:rsidR="005D1599" w:rsidRPr="00052DC7">
        <w:rPr>
          <w:rFonts w:ascii="Times New Roman" w:hAnsi="Times New Roman"/>
        </w:rPr>
        <w:t xml:space="preserve">relay </w:t>
      </w:r>
      <w:r w:rsidRPr="00052DC7">
        <w:rPr>
          <w:rFonts w:ascii="Times New Roman" w:hAnsi="Times New Roman"/>
        </w:rPr>
        <w:t xml:space="preserve">UE is a pair, which could be pre-configured. That means the remote UE is allowed to select a </w:t>
      </w:r>
      <w:r w:rsidR="005D1599" w:rsidRPr="00052DC7">
        <w:rPr>
          <w:rFonts w:ascii="Times New Roman" w:hAnsi="Times New Roman"/>
        </w:rPr>
        <w:t xml:space="preserve">relay </w:t>
      </w:r>
      <w:r w:rsidRPr="00052DC7">
        <w:rPr>
          <w:rFonts w:ascii="Times New Roman" w:hAnsi="Times New Roman"/>
        </w:rPr>
        <w:t xml:space="preserve">UE based on the pre-configuration. One case is that the </w:t>
      </w:r>
      <w:r w:rsidR="005D1599" w:rsidRPr="00052DC7">
        <w:rPr>
          <w:rFonts w:ascii="Times New Roman" w:hAnsi="Times New Roman"/>
        </w:rPr>
        <w:t xml:space="preserve">relay </w:t>
      </w:r>
      <w:r w:rsidRPr="00052DC7">
        <w:rPr>
          <w:rFonts w:ascii="Times New Roman" w:hAnsi="Times New Roman"/>
        </w:rPr>
        <w:t xml:space="preserve">UE is in proximity of the remote UE. And they may move together. Therefore, Inter-gNB handover for remote UE with the same </w:t>
      </w:r>
      <w:r w:rsidR="005D1599" w:rsidRPr="00052DC7">
        <w:rPr>
          <w:rFonts w:ascii="Times New Roman" w:hAnsi="Times New Roman"/>
        </w:rPr>
        <w:t xml:space="preserve">relay </w:t>
      </w:r>
      <w:r w:rsidRPr="00052DC7">
        <w:rPr>
          <w:rFonts w:ascii="Times New Roman" w:hAnsi="Times New Roman"/>
        </w:rPr>
        <w:t>UE should be supported</w:t>
      </w:r>
      <w:r w:rsidR="005D1599" w:rsidRPr="00052DC7">
        <w:rPr>
          <w:rFonts w:ascii="Times New Roman" w:hAnsi="Times New Roman"/>
        </w:rPr>
        <w:t xml:space="preserve"> for scenario 2</w:t>
      </w:r>
      <w:r w:rsidRPr="00052DC7">
        <w:rPr>
          <w:rFonts w:ascii="Times New Roman" w:hAnsi="Times New Roman"/>
        </w:rPr>
        <w:t>.</w:t>
      </w:r>
    </w:p>
    <w:p w14:paraId="72AB3F1D" w14:textId="3174ED11" w:rsidR="00C21487" w:rsidRPr="00052DC7" w:rsidRDefault="00C21487" w:rsidP="001D1CA2">
      <w:pPr>
        <w:spacing w:beforeLines="50" w:before="156" w:afterLines="50" w:after="156"/>
        <w:rPr>
          <w:rFonts w:ascii="Times New Roman" w:hAnsi="Times New Roman"/>
          <w:b/>
          <w:bCs/>
        </w:rPr>
      </w:pPr>
      <w:r w:rsidRPr="00052DC7">
        <w:rPr>
          <w:rFonts w:ascii="Times New Roman" w:hAnsi="Times New Roman"/>
          <w:b/>
          <w:bCs/>
        </w:rPr>
        <w:t xml:space="preserve">Proposal </w:t>
      </w:r>
      <w:r w:rsidR="005A0586" w:rsidRPr="00052DC7">
        <w:rPr>
          <w:rFonts w:ascii="Times New Roman" w:hAnsi="Times New Roman"/>
          <w:b/>
          <w:bCs/>
        </w:rPr>
        <w:t>6</w:t>
      </w:r>
      <w:r w:rsidRPr="00052DC7">
        <w:rPr>
          <w:rFonts w:ascii="Times New Roman" w:hAnsi="Times New Roman"/>
          <w:b/>
          <w:bCs/>
        </w:rPr>
        <w:t xml:space="preserve">: Inter-gNB handover </w:t>
      </w:r>
      <w:r w:rsidR="004527E4" w:rsidRPr="00052DC7">
        <w:rPr>
          <w:rFonts w:ascii="Times New Roman" w:hAnsi="Times New Roman"/>
          <w:b/>
          <w:bCs/>
        </w:rPr>
        <w:t xml:space="preserve">of a </w:t>
      </w:r>
      <w:r w:rsidRPr="00052DC7">
        <w:rPr>
          <w:rFonts w:ascii="Times New Roman" w:hAnsi="Times New Roman"/>
          <w:b/>
          <w:bCs/>
        </w:rPr>
        <w:t xml:space="preserve">remote UE </w:t>
      </w:r>
      <w:r w:rsidR="004527E4" w:rsidRPr="00052DC7">
        <w:rPr>
          <w:rFonts w:ascii="Times New Roman" w:hAnsi="Times New Roman"/>
          <w:b/>
          <w:bCs/>
        </w:rPr>
        <w:t xml:space="preserve">together </w:t>
      </w:r>
      <w:r w:rsidRPr="00052DC7">
        <w:rPr>
          <w:rFonts w:ascii="Times New Roman" w:hAnsi="Times New Roman"/>
          <w:b/>
          <w:bCs/>
        </w:rPr>
        <w:t xml:space="preserve">with the same </w:t>
      </w:r>
      <w:r w:rsidR="005D1599" w:rsidRPr="00052DC7">
        <w:rPr>
          <w:rFonts w:ascii="Times New Roman" w:hAnsi="Times New Roman"/>
          <w:b/>
          <w:bCs/>
        </w:rPr>
        <w:t xml:space="preserve">relay </w:t>
      </w:r>
      <w:r w:rsidRPr="00052DC7">
        <w:rPr>
          <w:rFonts w:ascii="Times New Roman" w:hAnsi="Times New Roman"/>
          <w:b/>
          <w:bCs/>
        </w:rPr>
        <w:t xml:space="preserve">UE </w:t>
      </w:r>
      <w:r w:rsidR="005D1599" w:rsidRPr="00052DC7">
        <w:rPr>
          <w:rFonts w:ascii="Times New Roman" w:hAnsi="Times New Roman"/>
          <w:b/>
          <w:bCs/>
        </w:rPr>
        <w:t xml:space="preserve">in Scenario 2 </w:t>
      </w:r>
      <w:r w:rsidRPr="00052DC7">
        <w:rPr>
          <w:rFonts w:ascii="Times New Roman" w:hAnsi="Times New Roman"/>
          <w:b/>
          <w:bCs/>
        </w:rPr>
        <w:t>should be discussed.</w:t>
      </w:r>
    </w:p>
    <w:p w14:paraId="19991F84" w14:textId="77777777" w:rsidR="0023015C" w:rsidRPr="00052DC7" w:rsidRDefault="0023015C" w:rsidP="000B0823">
      <w:pPr>
        <w:widowControl/>
        <w:spacing w:beforeLines="50" w:before="156" w:afterLines="50" w:after="156"/>
        <w:jc w:val="left"/>
        <w:rPr>
          <w:rFonts w:ascii="Times New Roman" w:hAnsi="Times New Roman"/>
          <w:b/>
          <w:bCs/>
        </w:rPr>
      </w:pPr>
    </w:p>
    <w:p w14:paraId="22657E5E" w14:textId="1265F70C" w:rsidR="00B914F6" w:rsidRPr="00052DC7" w:rsidRDefault="00B914F6" w:rsidP="00F01987">
      <w:pPr>
        <w:spacing w:beforeLines="50" w:before="156" w:afterLines="50" w:after="156"/>
        <w:rPr>
          <w:rFonts w:ascii="Times New Roman" w:hAnsi="Times New Roman"/>
          <w:b/>
          <w:bCs/>
          <w:u w:val="single"/>
        </w:rPr>
      </w:pPr>
      <w:r w:rsidRPr="00052DC7">
        <w:rPr>
          <w:rFonts w:ascii="Times New Roman" w:hAnsi="Times New Roman"/>
          <w:b/>
          <w:bCs/>
          <w:u w:val="single"/>
        </w:rPr>
        <w:t>Enhancement of throughput and reliability</w:t>
      </w:r>
    </w:p>
    <w:p w14:paraId="4C7D560A" w14:textId="561D6932" w:rsidR="00F01987" w:rsidRPr="00052DC7" w:rsidRDefault="00F01987" w:rsidP="00F01987">
      <w:pPr>
        <w:spacing w:beforeLines="50" w:before="156" w:afterLines="50" w:after="156"/>
        <w:rPr>
          <w:rFonts w:ascii="Times New Roman" w:hAnsi="Times New Roman"/>
        </w:rPr>
      </w:pPr>
      <w:r w:rsidRPr="00052DC7">
        <w:rPr>
          <w:rFonts w:ascii="Times New Roman" w:hAnsi="Times New Roman"/>
        </w:rPr>
        <w:t xml:space="preserve">Considering the existing mechanisms, </w:t>
      </w:r>
      <w:r w:rsidR="00844CF7" w:rsidRPr="00052DC7">
        <w:rPr>
          <w:rFonts w:ascii="Times New Roman" w:hAnsi="Times New Roman"/>
        </w:rPr>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 SRB</w:t>
      </w:r>
      <w:r w:rsidR="00753F89" w:rsidRPr="00052DC7">
        <w:rPr>
          <w:rFonts w:ascii="Times New Roman" w:hAnsi="Times New Roman"/>
        </w:rPr>
        <w:t>,</w:t>
      </w:r>
      <w:r w:rsidR="00844CF7" w:rsidRPr="00052DC7">
        <w:rPr>
          <w:rFonts w:ascii="Times New Roman" w:hAnsi="Times New Roman"/>
        </w:rPr>
        <w:t xml:space="preserve"> the state is always active and cannot be dynamically </w:t>
      </w:r>
      <w:r w:rsidR="00753F89" w:rsidRPr="00052DC7">
        <w:rPr>
          <w:rFonts w:ascii="Times New Roman" w:hAnsi="Times New Roman"/>
        </w:rPr>
        <w:t>controlled.</w:t>
      </w:r>
      <w:r w:rsidRPr="00052DC7">
        <w:rPr>
          <w:rFonts w:ascii="Times New Roman" w:hAnsi="Times New Roman"/>
        </w:rPr>
        <w:t xml:space="preserve"> </w:t>
      </w:r>
    </w:p>
    <w:p w14:paraId="4F8364DF" w14:textId="70D6754D" w:rsidR="00F01987" w:rsidRPr="00052DC7" w:rsidRDefault="00AE14DC" w:rsidP="00F01987">
      <w:pPr>
        <w:spacing w:beforeLines="50" w:before="156" w:afterLines="50" w:after="156"/>
        <w:rPr>
          <w:rFonts w:ascii="Times New Roman" w:hAnsi="Times New Roman"/>
        </w:rPr>
      </w:pPr>
      <w:r w:rsidRPr="00052DC7">
        <w:rPr>
          <w:rFonts w:ascii="Times New Roman" w:hAnsi="Times New Roman"/>
        </w:rPr>
        <w:t>S</w:t>
      </w:r>
      <w:r w:rsidR="00F01987" w:rsidRPr="00052DC7">
        <w:rPr>
          <w:rFonts w:ascii="Times New Roman" w:hAnsi="Times New Roman"/>
        </w:rPr>
        <w:t>ince the purpose is similar to the legacy case</w:t>
      </w:r>
      <w:r w:rsidR="00ED782E" w:rsidRPr="00052DC7">
        <w:rPr>
          <w:rFonts w:ascii="Times New Roman" w:hAnsi="Times New Roman"/>
        </w:rPr>
        <w:t>,</w:t>
      </w:r>
      <w:r w:rsidR="00F01987" w:rsidRPr="00052DC7">
        <w:rPr>
          <w:rFonts w:ascii="Times New Roman" w:hAnsi="Times New Roman"/>
        </w:rPr>
        <w:t xml:space="preserve"> </w:t>
      </w:r>
      <w:r w:rsidR="009E7AAB" w:rsidRPr="00052DC7">
        <w:rPr>
          <w:rFonts w:ascii="Times New Roman" w:hAnsi="Times New Roman"/>
        </w:rPr>
        <w:t xml:space="preserve">the existing activation/deactivation procedure </w:t>
      </w:r>
      <w:r w:rsidRPr="00052DC7">
        <w:rPr>
          <w:rFonts w:ascii="Times New Roman" w:hAnsi="Times New Roman"/>
        </w:rPr>
        <w:t>can be used as</w:t>
      </w:r>
      <w:r w:rsidR="009E7AAB" w:rsidRPr="00052DC7">
        <w:rPr>
          <w:rFonts w:ascii="Times New Roman" w:hAnsi="Times New Roman"/>
        </w:rPr>
        <w:t xml:space="preserve"> the baseline for multi-path</w:t>
      </w:r>
      <w:r w:rsidR="00C04EE7" w:rsidRPr="00052DC7">
        <w:rPr>
          <w:rFonts w:ascii="Times New Roman" w:hAnsi="Times New Roman"/>
        </w:rPr>
        <w:t xml:space="preserve"> relaying</w:t>
      </w:r>
      <w:r w:rsidR="009E7AAB" w:rsidRPr="00052DC7">
        <w:rPr>
          <w:rFonts w:ascii="Times New Roman" w:hAnsi="Times New Roman"/>
        </w:rPr>
        <w:t xml:space="preserve"> case.</w:t>
      </w:r>
      <w:r w:rsidR="003737B9" w:rsidRPr="00052DC7">
        <w:rPr>
          <w:rFonts w:ascii="Times New Roman" w:hAnsi="Times New Roman"/>
        </w:rPr>
        <w:t xml:space="preserve"> Correspondingly, the Duplication Activation/Deactivation MAC CE can be reused to activation/deactivation PDCP DRB.</w:t>
      </w:r>
    </w:p>
    <w:p w14:paraId="7EC1AAD4" w14:textId="271DC4A6"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C527D2" w:rsidRPr="00052DC7">
        <w:rPr>
          <w:rFonts w:ascii="Times New Roman" w:hAnsi="Times New Roman"/>
          <w:b/>
          <w:bCs/>
        </w:rPr>
        <w:t>7</w:t>
      </w:r>
      <w:r w:rsidRPr="00052DC7">
        <w:rPr>
          <w:rFonts w:ascii="Times New Roman" w:hAnsi="Times New Roman"/>
          <w:b/>
          <w:bCs/>
        </w:rPr>
        <w:t xml:space="preserve">: The </w:t>
      </w:r>
      <w:r w:rsidR="0047714A" w:rsidRPr="00052DC7">
        <w:rPr>
          <w:rFonts w:ascii="Times New Roman" w:hAnsi="Times New Roman"/>
          <w:b/>
          <w:bCs/>
        </w:rPr>
        <w:t xml:space="preserve">activation/deactivation </w:t>
      </w:r>
      <w:r w:rsidR="007A5892" w:rsidRPr="00052DC7">
        <w:rPr>
          <w:rFonts w:ascii="Times New Roman" w:hAnsi="Times New Roman"/>
          <w:b/>
          <w:bCs/>
        </w:rPr>
        <w:t>of PDCP duplication</w:t>
      </w:r>
      <w:r w:rsidR="00093F11" w:rsidRPr="00052DC7">
        <w:rPr>
          <w:rFonts w:ascii="Times New Roman" w:hAnsi="Times New Roman"/>
          <w:b/>
          <w:bCs/>
        </w:rPr>
        <w:t xml:space="preserve"> for a DRB</w:t>
      </w:r>
      <w:r w:rsidR="007A5892" w:rsidRPr="00052DC7">
        <w:rPr>
          <w:rFonts w:ascii="Times New Roman" w:hAnsi="Times New Roman"/>
          <w:b/>
          <w:bCs/>
        </w:rPr>
        <w:t xml:space="preserve"> </w:t>
      </w:r>
      <w:r w:rsidR="00093F11" w:rsidRPr="00052DC7">
        <w:rPr>
          <w:rFonts w:ascii="Times New Roman" w:hAnsi="Times New Roman"/>
          <w:b/>
          <w:bCs/>
        </w:rPr>
        <w:t>in multi-path relaying case</w:t>
      </w:r>
      <w:r w:rsidR="00093F11" w:rsidRPr="00052DC7" w:rsidDel="00093F11">
        <w:rPr>
          <w:rFonts w:ascii="Times New Roman" w:hAnsi="Times New Roman"/>
          <w:b/>
          <w:bCs/>
        </w:rPr>
        <w:t xml:space="preserve"> </w:t>
      </w:r>
      <w:r w:rsidR="00093F11" w:rsidRPr="00052DC7">
        <w:rPr>
          <w:rFonts w:ascii="Times New Roman" w:hAnsi="Times New Roman"/>
          <w:b/>
          <w:bCs/>
        </w:rPr>
        <w:t xml:space="preserve">can be </w:t>
      </w:r>
      <w:r w:rsidR="00093F11" w:rsidRPr="00052DC7">
        <w:rPr>
          <w:rFonts w:ascii="Times New Roman" w:hAnsi="Times New Roman"/>
          <w:b/>
          <w:bCs/>
        </w:rPr>
        <w:lastRenderedPageBreak/>
        <w:t>dynamically controlled by the gNB</w:t>
      </w:r>
      <w:r w:rsidRPr="00052DC7">
        <w:rPr>
          <w:rFonts w:ascii="Times New Roman" w:hAnsi="Times New Roman"/>
          <w:b/>
          <w:bCs/>
        </w:rPr>
        <w:t xml:space="preserve">. </w:t>
      </w:r>
    </w:p>
    <w:p w14:paraId="2E4CA9AC" w14:textId="3C0DD4D2" w:rsidR="00AC50D8" w:rsidRPr="00052DC7" w:rsidRDefault="00AC50D8" w:rsidP="0030323E">
      <w:pPr>
        <w:spacing w:beforeLines="50" w:before="156" w:afterLines="50" w:after="156"/>
        <w:rPr>
          <w:rFonts w:ascii="Times New Roman" w:hAnsi="Times New Roman"/>
          <w:b/>
          <w:bCs/>
        </w:rPr>
      </w:pPr>
      <w:r w:rsidRPr="00052DC7">
        <w:rPr>
          <w:rFonts w:ascii="Times New Roman" w:hAnsi="Times New Roman"/>
          <w:b/>
          <w:bCs/>
        </w:rPr>
        <w:t xml:space="preserve">Proposal </w:t>
      </w:r>
      <w:r w:rsidR="00C527D2" w:rsidRPr="00052DC7">
        <w:rPr>
          <w:rFonts w:ascii="Times New Roman" w:hAnsi="Times New Roman"/>
          <w:b/>
          <w:bCs/>
        </w:rPr>
        <w:t>8</w:t>
      </w:r>
      <w:r w:rsidRPr="00052DC7">
        <w:rPr>
          <w:rFonts w:ascii="Times New Roman" w:hAnsi="Times New Roman"/>
          <w:b/>
          <w:bCs/>
        </w:rPr>
        <w:t>: The Duplication Activation/Deactivation MAC CE can be reused.</w:t>
      </w:r>
    </w:p>
    <w:p w14:paraId="66C395D4" w14:textId="379B2CBC" w:rsidR="00F01987" w:rsidRPr="00052DC7" w:rsidRDefault="00F01987" w:rsidP="00F01987">
      <w:pPr>
        <w:spacing w:beforeLines="50" w:before="156" w:afterLines="50" w:after="156"/>
        <w:rPr>
          <w:rFonts w:ascii="Times New Roman" w:hAnsi="Times New Roman"/>
        </w:rPr>
      </w:pPr>
      <w:r w:rsidRPr="00052DC7">
        <w:rPr>
          <w:rFonts w:ascii="Times New Roman" w:hAnsi="Times New Roman"/>
        </w:rPr>
        <w:t xml:space="preserve">With the similar consideration, the mechanism of data split can be used to allow the transmission to be switched among the direct path and indirect path in Rel-18 multi-path </w:t>
      </w:r>
      <w:r w:rsidR="00741A50" w:rsidRPr="00052DC7">
        <w:rPr>
          <w:rFonts w:ascii="Times New Roman" w:hAnsi="Times New Roman"/>
        </w:rPr>
        <w:t xml:space="preserve">relaying </w:t>
      </w:r>
      <w:r w:rsidRPr="00052DC7">
        <w:rPr>
          <w:rFonts w:ascii="Times New Roman" w:hAnsi="Times New Roman"/>
        </w:rPr>
        <w:t xml:space="preserve">case. The legacy configuration and transmission rule can be applied to Rel-18 multi-path </w:t>
      </w:r>
      <w:r w:rsidR="00741A50" w:rsidRPr="00052DC7">
        <w:rPr>
          <w:rFonts w:ascii="Times New Roman" w:hAnsi="Times New Roman"/>
        </w:rPr>
        <w:t xml:space="preserve">relaying </w:t>
      </w:r>
      <w:r w:rsidRPr="00052DC7">
        <w:rPr>
          <w:rFonts w:ascii="Times New Roman" w:hAnsi="Times New Roman"/>
        </w:rPr>
        <w:t>case as the baseline.</w:t>
      </w:r>
      <w:r w:rsidR="00EC298E" w:rsidRPr="00052DC7">
        <w:rPr>
          <w:rFonts w:ascii="Times New Roman" w:hAnsi="Times New Roman"/>
        </w:rPr>
        <w:t xml:space="preserve"> Then the existing data volume threshold </w:t>
      </w:r>
      <w:r w:rsidR="00E326B6" w:rsidRPr="00052DC7">
        <w:rPr>
          <w:rFonts w:ascii="Times New Roman" w:hAnsi="Times New Roman"/>
        </w:rPr>
        <w:t xml:space="preserve">for split bearer </w:t>
      </w:r>
      <w:r w:rsidR="00EC298E" w:rsidRPr="00052DC7">
        <w:rPr>
          <w:rFonts w:ascii="Times New Roman" w:hAnsi="Times New Roman"/>
        </w:rPr>
        <w:t xml:space="preserve">can be </w:t>
      </w:r>
      <w:r w:rsidR="001D1CA2" w:rsidRPr="00052DC7">
        <w:rPr>
          <w:rFonts w:ascii="Times New Roman" w:hAnsi="Times New Roman"/>
        </w:rPr>
        <w:t>considered as a baseline, and some enhancements may be needed to support MP split bearer in multi-path relaying case</w:t>
      </w:r>
      <w:r w:rsidR="00EC298E" w:rsidRPr="00052DC7">
        <w:rPr>
          <w:rFonts w:ascii="Times New Roman" w:hAnsi="Times New Roman"/>
        </w:rPr>
        <w:t>.</w:t>
      </w:r>
    </w:p>
    <w:p w14:paraId="7857C7F2" w14:textId="7B3E8C3D"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6E2757" w:rsidRPr="00052DC7">
        <w:rPr>
          <w:rFonts w:ascii="Times New Roman" w:hAnsi="Times New Roman"/>
          <w:b/>
          <w:bCs/>
        </w:rPr>
        <w:t>9</w:t>
      </w:r>
      <w:r w:rsidRPr="00052DC7">
        <w:rPr>
          <w:rFonts w:ascii="Times New Roman" w:hAnsi="Times New Roman"/>
          <w:b/>
          <w:bCs/>
        </w:rPr>
        <w:t xml:space="preserve">: </w:t>
      </w:r>
      <w:r w:rsidR="001D1CA2" w:rsidRPr="00052DC7">
        <w:rPr>
          <w:rFonts w:ascii="Times New Roman" w:hAnsi="Times New Roman"/>
          <w:b/>
          <w:bCs/>
        </w:rPr>
        <w:t>Both legacy data volume threshold for split bearer and some enhancements can be considered to support MP split bearer in multi-path relaying case</w:t>
      </w:r>
      <w:r w:rsidRPr="00052DC7">
        <w:rPr>
          <w:rFonts w:ascii="Times New Roman" w:hAnsi="Times New Roman"/>
          <w:b/>
          <w:bCs/>
        </w:rPr>
        <w:t>.</w:t>
      </w:r>
    </w:p>
    <w:p w14:paraId="7CEC6374" w14:textId="42A50698" w:rsidR="00F00AD4" w:rsidRPr="00052DC7" w:rsidRDefault="00F00AD4" w:rsidP="00F01987">
      <w:pPr>
        <w:spacing w:beforeLines="50" w:before="156" w:afterLines="50" w:after="156"/>
        <w:rPr>
          <w:rFonts w:ascii="Times New Roman" w:hAnsi="Times New Roman"/>
          <w:b/>
          <w:bCs/>
        </w:rPr>
      </w:pPr>
    </w:p>
    <w:p w14:paraId="4FFAD3A1" w14:textId="30E96610" w:rsidR="00F00AD4" w:rsidRPr="00052DC7" w:rsidRDefault="00F00AD4" w:rsidP="00F01987">
      <w:pPr>
        <w:spacing w:beforeLines="50" w:before="156" w:afterLines="50" w:after="156"/>
        <w:rPr>
          <w:rFonts w:ascii="Times New Roman" w:hAnsi="Times New Roman"/>
          <w:b/>
          <w:bCs/>
          <w:u w:val="single"/>
        </w:rPr>
      </w:pPr>
      <w:r w:rsidRPr="00052DC7">
        <w:rPr>
          <w:rFonts w:ascii="Times New Roman" w:hAnsi="Times New Roman"/>
          <w:b/>
          <w:bCs/>
          <w:u w:val="single"/>
        </w:rPr>
        <w:t>Sidelink Resource scheduling</w:t>
      </w:r>
    </w:p>
    <w:p w14:paraId="783A4AB6" w14:textId="3F34C189" w:rsidR="00E47969" w:rsidRPr="00052DC7" w:rsidRDefault="00E47969" w:rsidP="00E47969">
      <w:pPr>
        <w:rPr>
          <w:rFonts w:ascii="Times New Roman" w:hAnsi="Times New Roman"/>
        </w:rPr>
      </w:pPr>
      <w:r w:rsidRPr="00052DC7">
        <w:rPr>
          <w:rFonts w:ascii="Times New Roman" w:hAnsi="Times New Roman"/>
        </w:rPr>
        <w:t xml:space="preserve">Based on the above agreement, the following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r w:rsidRPr="00052DC7">
        <w:rPr>
          <w:rFonts w:ascii="Times New Roman" w:hAnsi="Times New Roman"/>
        </w:rPr>
        <w:t xml:space="preserve"> depicts the required scenario:</w:t>
      </w:r>
    </w:p>
    <w:p w14:paraId="6F512672" w14:textId="77777777" w:rsidR="00E47969" w:rsidRPr="00052DC7" w:rsidRDefault="00E47969" w:rsidP="00E47969">
      <w:pPr>
        <w:keepNext/>
        <w:jc w:val="center"/>
        <w:rPr>
          <w:rFonts w:ascii="Times New Roman" w:hAnsi="Times New Roman"/>
        </w:rPr>
      </w:pPr>
      <w:r w:rsidRPr="00052DC7">
        <w:rPr>
          <w:rFonts w:ascii="Times New Roman" w:hAnsi="Times New Roman"/>
        </w:rPr>
        <w:object w:dxaOrig="9376" w:dyaOrig="7876" w14:anchorId="45917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2.75pt" o:ole="">
            <v:imagedata r:id="rId8" o:title=""/>
          </v:shape>
          <o:OLEObject Type="Embed" ProgID="Visio.Drawing.15" ShapeID="_x0000_i1025" DrawAspect="Content" ObjectID="_1729055808" r:id="rId9"/>
        </w:object>
      </w:r>
    </w:p>
    <w:p w14:paraId="173CC6D9" w14:textId="2C1322E0" w:rsidR="00E47969" w:rsidRPr="00052DC7" w:rsidRDefault="00E47969" w:rsidP="00E47969">
      <w:pPr>
        <w:pStyle w:val="Caption"/>
        <w:jc w:val="center"/>
        <w:rPr>
          <w:rFonts w:ascii="Times New Roman" w:hAnsi="Times New Roman"/>
        </w:rPr>
      </w:pPr>
      <w:bookmarkStart w:id="7" w:name="_Ref114674141"/>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00487519" w:rsidRPr="00052DC7">
        <w:rPr>
          <w:rFonts w:ascii="Times New Roman" w:hAnsi="Times New Roman"/>
          <w:noProof/>
        </w:rPr>
        <w:t>1</w:t>
      </w:r>
      <w:r w:rsidRPr="00052DC7">
        <w:rPr>
          <w:rFonts w:ascii="Times New Roman" w:hAnsi="Times New Roman"/>
        </w:rPr>
        <w:fldChar w:fldCharType="end"/>
      </w:r>
      <w:bookmarkEnd w:id="7"/>
      <w:r w:rsidRPr="00052DC7">
        <w:rPr>
          <w:rFonts w:ascii="Times New Roman" w:hAnsi="Times New Roman"/>
        </w:rPr>
        <w:t>: Inter cell - Intra gNB multipaths for a SL remote UE</w:t>
      </w:r>
    </w:p>
    <w:p w14:paraId="11A527CF" w14:textId="77777777" w:rsidR="00E47969" w:rsidRPr="00052DC7" w:rsidRDefault="00E47969" w:rsidP="00E47969">
      <w:pPr>
        <w:rPr>
          <w:rFonts w:ascii="Times New Roman" w:hAnsi="Times New Roman"/>
        </w:rPr>
      </w:pPr>
    </w:p>
    <w:p w14:paraId="07F4F3CA" w14:textId="77777777" w:rsidR="00E47969" w:rsidRPr="00052DC7" w:rsidRDefault="00E47969" w:rsidP="00E47969">
      <w:pPr>
        <w:rPr>
          <w:rFonts w:ascii="Times New Roman" w:hAnsi="Times New Roman"/>
        </w:rPr>
      </w:pPr>
    </w:p>
    <w:p w14:paraId="5B3939B7" w14:textId="65F171B8" w:rsidR="00E47969" w:rsidRPr="00052DC7" w:rsidRDefault="00E47969" w:rsidP="00E47969">
      <w:pPr>
        <w:rPr>
          <w:rFonts w:ascii="Times New Roman" w:hAnsi="Times New Roman"/>
        </w:rPr>
      </w:pPr>
      <w:bookmarkStart w:id="8" w:name="_Hlk116396638"/>
      <w:r w:rsidRPr="00052DC7">
        <w:rPr>
          <w:rFonts w:ascii="Times New Roman" w:hAnsi="Times New Roman"/>
        </w:rPr>
        <w:t xml:space="preserve">The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bookmarkEnd w:id="8"/>
      <w:r w:rsidRPr="00052DC7">
        <w:rPr>
          <w:rFonts w:ascii="Times New Roman" w:hAnsi="Times New Roman"/>
        </w:rPr>
        <w:t xml:space="preserve"> shows a scenario where the two “serving” cells of the Remote UE end up in the same gNB i.e., cell-1 and cell-2 Distributed Units (DU) are terminating in the same Centralized Unit (CU):</w:t>
      </w:r>
    </w:p>
    <w:p w14:paraId="516CD796" w14:textId="502642BA" w:rsidR="00C96AD1" w:rsidRPr="00052DC7" w:rsidRDefault="00C96AD1" w:rsidP="002A73F8">
      <w:pPr>
        <w:rPr>
          <w:rFonts w:ascii="Times New Roman" w:hAnsi="Times New Roman"/>
        </w:rPr>
      </w:pPr>
      <w:r w:rsidRPr="00052DC7">
        <w:rPr>
          <w:rFonts w:ascii="Times New Roman" w:hAnsi="Times New Roman"/>
        </w:rPr>
        <w:t xml:space="preserve">In legacy a sidelink transmitter is only provided sidelink resources from one </w:t>
      </w:r>
      <w:r w:rsidR="002A73F8" w:rsidRPr="00052DC7">
        <w:rPr>
          <w:rFonts w:ascii="Times New Roman" w:hAnsi="Times New Roman"/>
        </w:rPr>
        <w:t xml:space="preserve">serving </w:t>
      </w:r>
      <w:r w:rsidRPr="00052DC7">
        <w:rPr>
          <w:rFonts w:ascii="Times New Roman" w:hAnsi="Times New Roman"/>
        </w:rPr>
        <w:t>cell. In multipath scenario however there are two serving cells available to schedule the UE</w:t>
      </w:r>
      <w:r w:rsidR="00A75B10" w:rsidRPr="00052DC7">
        <w:rPr>
          <w:rFonts w:ascii="Times New Roman" w:hAnsi="Times New Roman"/>
        </w:rPr>
        <w:t xml:space="preserve"> which could come in handy i</w:t>
      </w:r>
      <w:r w:rsidRPr="00052DC7">
        <w:rPr>
          <w:rFonts w:ascii="Times New Roman" w:hAnsi="Times New Roman"/>
        </w:rPr>
        <w:t>n special circumstances like RLF on one link, or due to Consistent LBT failures or simply due to radio geometry</w:t>
      </w:r>
      <w:r w:rsidR="002A73F8" w:rsidRPr="00052DC7">
        <w:rPr>
          <w:rFonts w:ascii="Times New Roman" w:hAnsi="Times New Roman"/>
        </w:rPr>
        <w:t>.</w:t>
      </w:r>
    </w:p>
    <w:p w14:paraId="66DAC816" w14:textId="0E6E3CB1" w:rsidR="00E365D6" w:rsidRPr="00052DC7" w:rsidRDefault="00E365D6" w:rsidP="002A73F8">
      <w:pPr>
        <w:rPr>
          <w:rFonts w:ascii="Times New Roman" w:hAnsi="Times New Roman"/>
        </w:rPr>
      </w:pPr>
    </w:p>
    <w:p w14:paraId="4879B548" w14:textId="091B7954" w:rsidR="00E365D6" w:rsidRPr="00052DC7" w:rsidRDefault="00E365D6" w:rsidP="00E365D6">
      <w:pPr>
        <w:rPr>
          <w:rFonts w:ascii="Times New Roman" w:hAnsi="Times New Roman"/>
        </w:rPr>
      </w:pPr>
      <w:r w:rsidRPr="00052DC7">
        <w:rPr>
          <w:rFonts w:ascii="Times New Roman" w:hAnsi="Times New Roman"/>
        </w:rPr>
        <w:t>Further, following sidelink data need to be transmitted by the remote UE:</w:t>
      </w:r>
    </w:p>
    <w:p w14:paraId="002C5856"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an indirect bearer i.e., a bearer configured only on the indirect path (data type-a)</w:t>
      </w:r>
    </w:p>
    <w:p w14:paraId="4045922A" w14:textId="77777777" w:rsidR="00E365D6" w:rsidRPr="00052DC7" w:rsidRDefault="00E365D6" w:rsidP="00E365D6">
      <w:pPr>
        <w:pStyle w:val="ListParagraph"/>
        <w:numPr>
          <w:ilvl w:val="0"/>
          <w:numId w:val="10"/>
        </w:numPr>
        <w:spacing w:before="60" w:after="120"/>
        <w:ind w:firstLineChars="0"/>
        <w:contextualSpacing/>
      </w:pPr>
      <w:r w:rsidRPr="00052DC7">
        <w:lastRenderedPageBreak/>
        <w:t>data that is destined to be sent to gNB and is configured to be carried in a split bearer i.e., data from this application will be carried in direct Uu link as well as in the indirect link/ path (data type-b)</w:t>
      </w:r>
    </w:p>
    <w:p w14:paraId="48053491" w14:textId="77777777" w:rsidR="00E365D6" w:rsidRPr="00052DC7" w:rsidRDefault="00E365D6" w:rsidP="00E365D6">
      <w:pPr>
        <w:pStyle w:val="ListParagraph"/>
        <w:numPr>
          <w:ilvl w:val="0"/>
          <w:numId w:val="10"/>
        </w:numPr>
        <w:spacing w:before="60" w:after="120"/>
        <w:ind w:firstLineChars="0"/>
        <w:contextualSpacing/>
      </w:pPr>
      <w:r w:rsidRPr="00052DC7">
        <w:t>sidelink data that is destined for the U2N sidelink relay i.e., relay does not forward this data on the Uu interface to its serving cell (data type-c)</w:t>
      </w:r>
    </w:p>
    <w:p w14:paraId="445A13F5" w14:textId="11717750" w:rsidR="006E16F0" w:rsidRPr="00052DC7" w:rsidRDefault="00E365D6" w:rsidP="001D1CA2">
      <w:pPr>
        <w:pStyle w:val="ListParagraph"/>
        <w:numPr>
          <w:ilvl w:val="0"/>
          <w:numId w:val="10"/>
        </w:numPr>
        <w:spacing w:before="60" w:after="120"/>
        <w:ind w:firstLineChars="0"/>
        <w:contextualSpacing/>
      </w:pPr>
      <w:r w:rsidRPr="00052DC7">
        <w:t>sidelink data that is destined for another sidelink UE i.e., relay acts also as a UE to UE relay and forward this data on the sidelink interface to a destination sidelink remote UE (data type-d)</w:t>
      </w:r>
    </w:p>
    <w:p w14:paraId="54391A4F" w14:textId="77777777" w:rsidR="00487519" w:rsidRPr="00052DC7" w:rsidRDefault="00487519" w:rsidP="00487519">
      <w:pPr>
        <w:keepNext/>
        <w:jc w:val="center"/>
        <w:rPr>
          <w:rFonts w:ascii="Times New Roman" w:hAnsi="Times New Roman"/>
        </w:rPr>
      </w:pPr>
      <w:r w:rsidRPr="00052DC7">
        <w:rPr>
          <w:rFonts w:ascii="Times New Roman" w:hAnsi="Times New Roman"/>
        </w:rPr>
        <w:object w:dxaOrig="13831" w:dyaOrig="5461" w14:anchorId="35F6B2E0">
          <v:shape id="_x0000_i1026" type="#_x0000_t75" style="width:426.75pt;height:168pt" o:ole="">
            <v:imagedata r:id="rId10" o:title=""/>
          </v:shape>
          <o:OLEObject Type="Embed" ProgID="Visio.Drawing.15" ShapeID="_x0000_i1026" DrawAspect="Content" ObjectID="_1729055809" r:id="rId11"/>
        </w:object>
      </w:r>
    </w:p>
    <w:p w14:paraId="499870BC" w14:textId="13F15C4C" w:rsidR="00154C6E" w:rsidRPr="00052DC7" w:rsidRDefault="00487519" w:rsidP="001D1CA2">
      <w:pPr>
        <w:jc w:val="center"/>
        <w:rPr>
          <w:rFonts w:ascii="Times New Roman" w:hAnsi="Times New Roman"/>
        </w:rPr>
      </w:pPr>
      <w:bookmarkStart w:id="9" w:name="_Ref116982881"/>
      <w:bookmarkStart w:id="10" w:name="_Ref118284000"/>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Pr="00052DC7">
        <w:rPr>
          <w:rFonts w:ascii="Times New Roman" w:hAnsi="Times New Roman"/>
          <w:noProof/>
        </w:rPr>
        <w:t>2</w:t>
      </w:r>
      <w:r w:rsidRPr="00052DC7">
        <w:rPr>
          <w:rFonts w:ascii="Times New Roman" w:hAnsi="Times New Roman"/>
        </w:rPr>
        <w:fldChar w:fldCharType="end"/>
      </w:r>
      <w:bookmarkEnd w:id="9"/>
      <w:bookmarkEnd w:id="10"/>
    </w:p>
    <w:p w14:paraId="73121053" w14:textId="77777777" w:rsidR="00154C6E" w:rsidRPr="00052DC7" w:rsidRDefault="00154C6E" w:rsidP="00487519">
      <w:pPr>
        <w:rPr>
          <w:rFonts w:ascii="Times New Roman" w:hAnsi="Times New Roman"/>
        </w:rPr>
      </w:pPr>
    </w:p>
    <w:p w14:paraId="6137C5E2" w14:textId="7AA48E96" w:rsidR="004F4860" w:rsidRPr="00052DC7" w:rsidRDefault="00154C6E" w:rsidP="00487519">
      <w:pPr>
        <w:rPr>
          <w:rFonts w:ascii="Times New Roman" w:hAnsi="Times New Roman"/>
        </w:rPr>
      </w:pPr>
      <w:r w:rsidRPr="00052DC7">
        <w:rPr>
          <w:rFonts w:ascii="Times New Roman" w:hAnsi="Times New Roman"/>
        </w:rPr>
        <w:t xml:space="preserve">As shown in </w:t>
      </w:r>
      <w:r w:rsidRPr="00052DC7">
        <w:rPr>
          <w:rFonts w:ascii="Times New Roman" w:hAnsi="Times New Roman"/>
        </w:rPr>
        <w:fldChar w:fldCharType="begin"/>
      </w:r>
      <w:r w:rsidRPr="00052DC7">
        <w:rPr>
          <w:rFonts w:ascii="Times New Roman" w:hAnsi="Times New Roman"/>
        </w:rPr>
        <w:instrText xml:space="preserve"> REF _Ref118284000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sidRPr="00052DC7">
        <w:rPr>
          <w:rFonts w:ascii="Times New Roman" w:hAnsi="Times New Roman"/>
          <w:noProof/>
        </w:rPr>
        <w:t>2</w:t>
      </w:r>
      <w:r w:rsidRPr="00052DC7">
        <w:rPr>
          <w:rFonts w:ascii="Times New Roman" w:hAnsi="Times New Roman"/>
        </w:rPr>
        <w:fldChar w:fldCharType="end"/>
      </w:r>
      <w:r w:rsidRPr="00052DC7">
        <w:rPr>
          <w:rFonts w:ascii="Times New Roman" w:hAnsi="Times New Roman"/>
        </w:rPr>
        <w:t xml:space="preserve">, </w:t>
      </w:r>
      <w:r w:rsidR="00487519" w:rsidRPr="00052DC7">
        <w:rPr>
          <w:rFonts w:ascii="Times New Roman" w:hAnsi="Times New Roman"/>
        </w:rPr>
        <w:t xml:space="preserve">Bearer-1 is using only Uu resources of Cell-1. Bearer-2 is split bearer and remote UE may use both Uu and SL resources. </w:t>
      </w:r>
      <w:r w:rsidR="00487519" w:rsidRPr="00052DC7">
        <w:rPr>
          <w:rFonts w:ascii="Times New Roman" w:hAnsi="Times New Roman"/>
          <w:noProof/>
        </w:rPr>
        <w:t>For Bearer-3 the remote UE shall only use sidelink resources. Bearer-4 terminates in another SL device (U2N Relay or another SL UE)</w:t>
      </w:r>
      <w:r w:rsidR="00E45EAC" w:rsidRPr="00052DC7">
        <w:rPr>
          <w:rFonts w:ascii="Times New Roman" w:hAnsi="Times New Roman"/>
          <w:noProof/>
        </w:rPr>
        <w:t xml:space="preserve">. It is possible that different SL data are scheduled differently e.g., using Mode 1 or Mode 2 resources from Cell 1 or Cell 2. As one simple possibility, </w:t>
      </w:r>
      <w:r w:rsidR="00D04623" w:rsidRPr="00052DC7">
        <w:rPr>
          <w:rFonts w:ascii="Times New Roman" w:hAnsi="Times New Roman"/>
        </w:rPr>
        <w:t xml:space="preserve">a UE would use sidelink resources (i.e., perform resource selection for transmission) provided in broadcast signalling (e.g., SIB12) by the cell with which UE had first link established. </w:t>
      </w:r>
      <w:r w:rsidR="00A45059" w:rsidRPr="00052DC7">
        <w:rPr>
          <w:rFonts w:ascii="Times New Roman" w:hAnsi="Times New Roman"/>
        </w:rPr>
        <w:t xml:space="preserve">If a </w:t>
      </w:r>
      <w:r w:rsidR="00A45059" w:rsidRPr="00052DC7">
        <w:rPr>
          <w:rFonts w:ascii="Times New Roman" w:hAnsi="Times New Roman"/>
          <w:i/>
          <w:iCs/>
        </w:rPr>
        <w:t>sl-ConfigDedicatedNR</w:t>
      </w:r>
      <w:r w:rsidR="00A45059" w:rsidRPr="00052DC7">
        <w:rPr>
          <w:rFonts w:ascii="Times New Roman" w:hAnsi="Times New Roman"/>
        </w:rPr>
        <w:t xml:space="preserve"> is received the UE uses the dedicated SL configuration for Mode 2. If Mode 1 scheduling is used, when the first link is the direct link, UE uses Mode 1 SL resources. </w:t>
      </w:r>
    </w:p>
    <w:p w14:paraId="6A59AB82" w14:textId="77777777" w:rsidR="004F4860" w:rsidRPr="00052DC7" w:rsidRDefault="004F4860" w:rsidP="00487519">
      <w:pPr>
        <w:rPr>
          <w:rFonts w:ascii="Times New Roman" w:hAnsi="Times New Roman"/>
        </w:rPr>
      </w:pPr>
    </w:p>
    <w:p w14:paraId="19C14E86" w14:textId="33AF6244" w:rsidR="00A45059" w:rsidRPr="00052DC7" w:rsidRDefault="00A45059" w:rsidP="00487519">
      <w:pPr>
        <w:rPr>
          <w:rFonts w:ascii="Times New Roman" w:hAnsi="Times New Roman"/>
        </w:rPr>
      </w:pPr>
      <w:r w:rsidRPr="00052DC7">
        <w:rPr>
          <w:rFonts w:ascii="Times New Roman" w:hAnsi="Times New Roman"/>
        </w:rPr>
        <w:t>When the second path is added</w:t>
      </w:r>
      <w:r w:rsidR="00D04623" w:rsidRPr="00052DC7">
        <w:rPr>
          <w:rFonts w:ascii="Times New Roman" w:hAnsi="Times New Roman"/>
        </w:rPr>
        <w:t xml:space="preserve">, </w:t>
      </w:r>
      <w:r w:rsidRPr="00052DC7">
        <w:rPr>
          <w:rFonts w:ascii="Times New Roman" w:hAnsi="Times New Roman"/>
        </w:rPr>
        <w:t>following options are possible for SL scheduling:</w:t>
      </w:r>
    </w:p>
    <w:p w14:paraId="4EA8C17C" w14:textId="4DA5CDAE" w:rsidR="00A45059" w:rsidRPr="00052DC7" w:rsidRDefault="00A45059" w:rsidP="001D1CA2">
      <w:pPr>
        <w:pStyle w:val="ListParagraph"/>
        <w:numPr>
          <w:ilvl w:val="0"/>
          <w:numId w:val="11"/>
        </w:numPr>
        <w:spacing w:after="0"/>
        <w:ind w:firstLineChars="0"/>
      </w:pPr>
      <w:r w:rsidRPr="00052DC7">
        <w:t xml:space="preserve">The first cell </w:t>
      </w:r>
      <w:r w:rsidR="004F4860" w:rsidRPr="00052DC7">
        <w:t xml:space="preserve">continues to </w:t>
      </w:r>
      <w:r w:rsidRPr="00052DC7">
        <w:t>schedule all SL resources</w:t>
      </w:r>
      <w:r w:rsidR="00E45EAC" w:rsidRPr="00052DC7">
        <w:t xml:space="preserve"> for any SL data transmission of the remote UE.</w:t>
      </w:r>
    </w:p>
    <w:p w14:paraId="63ADD50C" w14:textId="0CE83A90" w:rsidR="00A45059" w:rsidRPr="00052DC7" w:rsidRDefault="00A45059" w:rsidP="001D1CA2">
      <w:pPr>
        <w:pStyle w:val="ListParagraph"/>
        <w:numPr>
          <w:ilvl w:val="0"/>
          <w:numId w:val="11"/>
        </w:numPr>
        <w:spacing w:after="0"/>
        <w:ind w:firstLineChars="0"/>
      </w:pPr>
      <w:r w:rsidRPr="00052DC7">
        <w:t xml:space="preserve">UE may use Mode 2 </w:t>
      </w:r>
      <w:r w:rsidR="00E45EAC" w:rsidRPr="00052DC7">
        <w:t xml:space="preserve">transmission </w:t>
      </w:r>
      <w:r w:rsidRPr="00052DC7">
        <w:t xml:space="preserve">resources from the indirect link in addition to Mode1/ Mode2 </w:t>
      </w:r>
      <w:r w:rsidR="00E45EAC" w:rsidRPr="00052DC7">
        <w:t xml:space="preserve">transmission </w:t>
      </w:r>
      <w:r w:rsidRPr="00052DC7">
        <w:t>resources from the direct link</w:t>
      </w:r>
      <w:r w:rsidR="00E45EAC" w:rsidRPr="00052DC7">
        <w:t>.</w:t>
      </w:r>
      <w:r w:rsidR="004F4860" w:rsidRPr="00052DC7">
        <w:t xml:space="preserve"> Being able to use resources from both cells can be helpful in mobility situations.</w:t>
      </w:r>
    </w:p>
    <w:p w14:paraId="28FE1675" w14:textId="33E6292D" w:rsidR="00C96AD1" w:rsidRPr="00052DC7" w:rsidRDefault="00A45059" w:rsidP="001D1CA2">
      <w:pPr>
        <w:pStyle w:val="ListParagraph"/>
        <w:numPr>
          <w:ilvl w:val="0"/>
          <w:numId w:val="11"/>
        </w:numPr>
        <w:spacing w:after="0"/>
        <w:ind w:firstLineChars="0"/>
      </w:pPr>
      <w:r w:rsidRPr="00052DC7">
        <w:t>UE uses SL resources provided by the Primary path</w:t>
      </w:r>
      <w:r w:rsidR="00E45EAC" w:rsidRPr="00052DC7">
        <w:t xml:space="preserve"> for all SL data type</w:t>
      </w:r>
      <w:r w:rsidRPr="00052DC7">
        <w:t>. If the primary path changes, the UE’s SL resources are scheduled by the new primary path</w:t>
      </w:r>
      <w:r w:rsidR="00C96AD1" w:rsidRPr="00052DC7">
        <w:t>.</w:t>
      </w:r>
    </w:p>
    <w:p w14:paraId="04FD3321" w14:textId="18F9F494" w:rsidR="00F00AD4" w:rsidRPr="00052DC7" w:rsidRDefault="004F4860" w:rsidP="00F01987">
      <w:pPr>
        <w:spacing w:beforeLines="50" w:before="156" w:afterLines="50" w:after="156"/>
        <w:rPr>
          <w:rFonts w:ascii="Times New Roman" w:hAnsi="Times New Roman"/>
        </w:rPr>
      </w:pPr>
      <w:r w:rsidRPr="00052DC7">
        <w:rPr>
          <w:rFonts w:ascii="Times New Roman" w:hAnsi="Times New Roman"/>
        </w:rPr>
        <w:t xml:space="preserve">As a first discussion, it can be beneficial to discuss if the </w:t>
      </w:r>
      <w:r w:rsidR="00C9264A" w:rsidRPr="00052DC7">
        <w:rPr>
          <w:rFonts w:ascii="Times New Roman" w:hAnsi="Times New Roman"/>
        </w:rPr>
        <w:t xml:space="preserve">remote </w:t>
      </w:r>
      <w:r w:rsidRPr="00052DC7">
        <w:rPr>
          <w:rFonts w:ascii="Times New Roman" w:hAnsi="Times New Roman"/>
        </w:rPr>
        <w:t xml:space="preserve">UE can use mode 2 </w:t>
      </w:r>
      <w:r w:rsidR="00C9264A" w:rsidRPr="00052DC7">
        <w:rPr>
          <w:rFonts w:ascii="Times New Roman" w:hAnsi="Times New Roman"/>
        </w:rPr>
        <w:t xml:space="preserve">SL transmission </w:t>
      </w:r>
      <w:r w:rsidRPr="00052DC7">
        <w:rPr>
          <w:rFonts w:ascii="Times New Roman" w:hAnsi="Times New Roman"/>
        </w:rPr>
        <w:t>resources from both the cells and if use of Mode 1 from direct link and Mode 2 from indirect must be restricted, we see no reason for this</w:t>
      </w:r>
      <w:r w:rsidR="00494A06" w:rsidRPr="00052DC7">
        <w:rPr>
          <w:rFonts w:ascii="Times New Roman" w:hAnsi="Times New Roman"/>
        </w:rPr>
        <w:t>,</w:t>
      </w:r>
      <w:r w:rsidRPr="00052DC7">
        <w:rPr>
          <w:rFonts w:ascii="Times New Roman" w:hAnsi="Times New Roman"/>
        </w:rPr>
        <w:t xml:space="preserve"> and this does not mean a violation of simultaneous Mode 1 Mode 2 principle.</w:t>
      </w:r>
    </w:p>
    <w:p w14:paraId="61E87BBD" w14:textId="07A685C3" w:rsidR="004F4860" w:rsidRPr="00052DC7" w:rsidRDefault="004F4860" w:rsidP="00F01987">
      <w:pPr>
        <w:spacing w:beforeLines="50" w:before="156" w:afterLines="50" w:after="156"/>
        <w:rPr>
          <w:rFonts w:ascii="Times New Roman" w:hAnsi="Times New Roman"/>
          <w:b/>
          <w:bCs/>
        </w:rPr>
      </w:pPr>
      <w:r w:rsidRPr="00052DC7">
        <w:rPr>
          <w:rFonts w:ascii="Times New Roman" w:hAnsi="Times New Roman"/>
          <w:b/>
          <w:bCs/>
        </w:rPr>
        <w:t>Proposal 1</w:t>
      </w:r>
      <w:r w:rsidR="006E2757" w:rsidRPr="00052DC7">
        <w:rPr>
          <w:rFonts w:ascii="Times New Roman" w:hAnsi="Times New Roman"/>
          <w:b/>
          <w:bCs/>
        </w:rPr>
        <w:t>0</w:t>
      </w:r>
      <w:r w:rsidRPr="00052DC7">
        <w:rPr>
          <w:rFonts w:ascii="Times New Roman" w:hAnsi="Times New Roman"/>
          <w:b/>
          <w:bCs/>
        </w:rPr>
        <w:t xml:space="preserve">: </w:t>
      </w:r>
      <w:r w:rsidR="00C9264A" w:rsidRPr="00052DC7">
        <w:rPr>
          <w:rFonts w:ascii="Times New Roman" w:hAnsi="Times New Roman"/>
          <w:b/>
          <w:bCs/>
        </w:rPr>
        <w:t>Remote UE can use mode 2 SL transmission resources from both the serving cells in a multipath scenario.</w:t>
      </w:r>
    </w:p>
    <w:p w14:paraId="5F746180" w14:textId="1A663932" w:rsidR="00C9264A" w:rsidRPr="00052DC7" w:rsidRDefault="00C9264A" w:rsidP="00F01987">
      <w:pPr>
        <w:spacing w:beforeLines="50" w:before="156" w:afterLines="50" w:after="156"/>
        <w:rPr>
          <w:rFonts w:ascii="Times New Roman" w:hAnsi="Times New Roman"/>
          <w:b/>
          <w:bCs/>
        </w:rPr>
      </w:pPr>
      <w:r w:rsidRPr="00052DC7">
        <w:rPr>
          <w:rFonts w:ascii="Times New Roman" w:hAnsi="Times New Roman"/>
          <w:b/>
          <w:bCs/>
        </w:rPr>
        <w:t>Proposal 1</w:t>
      </w:r>
      <w:r w:rsidR="006E2757" w:rsidRPr="00052DC7">
        <w:rPr>
          <w:rFonts w:ascii="Times New Roman" w:hAnsi="Times New Roman"/>
          <w:b/>
          <w:bCs/>
        </w:rPr>
        <w:t>1</w:t>
      </w:r>
      <w:r w:rsidRPr="00052DC7">
        <w:rPr>
          <w:rFonts w:ascii="Times New Roman" w:hAnsi="Times New Roman"/>
          <w:b/>
          <w:bCs/>
        </w:rPr>
        <w:t>: Remote UE can use mode 1 SL transmission resources from direct path and mode 2 SL transmission resources from the serving cell on the indirect path, in a multipath scenario.</w:t>
      </w:r>
    </w:p>
    <w:bookmarkEnd w:id="5"/>
    <w:p w14:paraId="37A4AA56" w14:textId="77777777" w:rsidR="00CE3390" w:rsidRPr="00052DC7"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052DC7">
        <w:rPr>
          <w:rFonts w:ascii="Times New Roman" w:hAnsi="Times New Roman"/>
          <w:b/>
          <w:sz w:val="32"/>
          <w:szCs w:val="32"/>
          <w:lang w:eastAsia="zh-CN"/>
        </w:rPr>
        <w:lastRenderedPageBreak/>
        <w:t>Conclusion</w:t>
      </w:r>
    </w:p>
    <w:p w14:paraId="326E83DE" w14:textId="14D08DA1" w:rsidR="00DC567A" w:rsidRPr="00052DC7" w:rsidRDefault="001977B1" w:rsidP="001921B4">
      <w:pPr>
        <w:spacing w:beforeLines="50" w:before="156" w:afterLines="50" w:after="156"/>
        <w:rPr>
          <w:rFonts w:ascii="Times New Roman" w:hAnsi="Times New Roman"/>
          <w:sz w:val="20"/>
          <w:szCs w:val="20"/>
        </w:rPr>
      </w:pPr>
      <w:r w:rsidRPr="00052DC7">
        <w:rPr>
          <w:rFonts w:ascii="Times New Roman" w:hAnsi="Times New Roman"/>
          <w:sz w:val="20"/>
          <w:szCs w:val="20"/>
        </w:rPr>
        <w:t xml:space="preserve">In this contribution, the </w:t>
      </w:r>
      <w:r w:rsidR="002C70DD" w:rsidRPr="00052DC7">
        <w:rPr>
          <w:rFonts w:ascii="Times New Roman" w:hAnsi="Times New Roman"/>
          <w:sz w:val="20"/>
          <w:szCs w:val="20"/>
        </w:rPr>
        <w:t>mobility scenarios</w:t>
      </w:r>
      <w:r w:rsidR="009F5674" w:rsidRPr="00052DC7">
        <w:rPr>
          <w:rFonts w:ascii="Times New Roman" w:hAnsi="Times New Roman"/>
          <w:sz w:val="20"/>
          <w:szCs w:val="20"/>
        </w:rPr>
        <w:t xml:space="preserve"> and </w:t>
      </w:r>
      <w:r w:rsidR="002C70DD" w:rsidRPr="00052DC7">
        <w:rPr>
          <w:rFonts w:ascii="Times New Roman" w:hAnsi="Times New Roman"/>
          <w:sz w:val="20"/>
          <w:szCs w:val="20"/>
        </w:rPr>
        <w:t>enhancement of throughput and reliability</w:t>
      </w:r>
      <w:r w:rsidR="004D12F6" w:rsidRPr="00052DC7">
        <w:rPr>
          <w:rFonts w:ascii="Times New Roman" w:hAnsi="Times New Roman"/>
          <w:sz w:val="20"/>
          <w:szCs w:val="20"/>
        </w:rPr>
        <w:t xml:space="preserve"> </w:t>
      </w:r>
      <w:r w:rsidR="00DA5A99" w:rsidRPr="00052DC7">
        <w:rPr>
          <w:rFonts w:ascii="Times New Roman" w:hAnsi="Times New Roman"/>
          <w:sz w:val="20"/>
          <w:szCs w:val="20"/>
        </w:rPr>
        <w:t xml:space="preserve">for </w:t>
      </w:r>
      <w:r w:rsidR="002C70DD" w:rsidRPr="00052DC7">
        <w:rPr>
          <w:rFonts w:ascii="Times New Roman" w:hAnsi="Times New Roman"/>
          <w:sz w:val="20"/>
          <w:szCs w:val="20"/>
        </w:rPr>
        <w:t>multi-path relaying</w:t>
      </w:r>
      <w:r w:rsidR="00DA5A99" w:rsidRPr="00052DC7">
        <w:rPr>
          <w:rFonts w:ascii="Times New Roman" w:hAnsi="Times New Roman"/>
          <w:sz w:val="20"/>
          <w:szCs w:val="20"/>
        </w:rPr>
        <w:t xml:space="preserve"> </w:t>
      </w:r>
      <w:r w:rsidR="004D12F6" w:rsidRPr="00052DC7">
        <w:rPr>
          <w:rFonts w:ascii="Times New Roman" w:hAnsi="Times New Roman"/>
          <w:sz w:val="20"/>
          <w:szCs w:val="20"/>
        </w:rPr>
        <w:t>are discussed. We</w:t>
      </w:r>
      <w:r w:rsidRPr="00052DC7">
        <w:rPr>
          <w:rFonts w:ascii="Times New Roman" w:hAnsi="Times New Roman"/>
          <w:sz w:val="20"/>
          <w:szCs w:val="20"/>
        </w:rPr>
        <w:t xml:space="preserve"> have the following proposal</w:t>
      </w:r>
      <w:r w:rsidR="00980ECE" w:rsidRPr="00052DC7">
        <w:rPr>
          <w:rFonts w:ascii="Times New Roman" w:hAnsi="Times New Roman"/>
          <w:sz w:val="20"/>
          <w:szCs w:val="20"/>
        </w:rPr>
        <w:t>s</w:t>
      </w:r>
      <w:r w:rsidRPr="00052DC7">
        <w:rPr>
          <w:rFonts w:ascii="Times New Roman" w:hAnsi="Times New Roman"/>
          <w:sz w:val="20"/>
          <w:szCs w:val="20"/>
        </w:rPr>
        <w:t>:</w:t>
      </w:r>
    </w:p>
    <w:p w14:paraId="7FE85164" w14:textId="01513B53" w:rsidR="00066093" w:rsidRPr="00052DC7" w:rsidRDefault="00066093" w:rsidP="006D54F1">
      <w:pPr>
        <w:spacing w:beforeLines="50" w:before="156" w:afterLines="50" w:after="156"/>
        <w:rPr>
          <w:rFonts w:ascii="Times New Roman" w:hAnsi="Times New Roman"/>
          <w:b/>
          <w:bCs/>
        </w:rPr>
      </w:pPr>
      <w:r w:rsidRPr="00052DC7">
        <w:rPr>
          <w:rFonts w:ascii="Times New Roman" w:hAnsi="Times New Roman"/>
          <w:b/>
          <w:bCs/>
        </w:rPr>
        <w:t xml:space="preserve">Proposal 1: </w:t>
      </w:r>
      <w:r w:rsidR="00DC6367" w:rsidRPr="00052DC7">
        <w:rPr>
          <w:rFonts w:ascii="Times New Roman" w:hAnsi="Times New Roman"/>
          <w:b/>
          <w:bCs/>
        </w:rPr>
        <w:t>Intra-gNB Relay change via a single switch procedure while the remote UE keeps the direct path under the same gNB should be supported.</w:t>
      </w:r>
    </w:p>
    <w:p w14:paraId="0E876EDB" w14:textId="3B6CCC08" w:rsidR="00066093" w:rsidRPr="00052DC7" w:rsidRDefault="00066093" w:rsidP="006D54F1">
      <w:pPr>
        <w:spacing w:beforeLines="50" w:before="156" w:afterLines="50" w:after="156"/>
        <w:rPr>
          <w:rFonts w:ascii="Times New Roman" w:hAnsi="Times New Roman"/>
          <w:b/>
          <w:bCs/>
        </w:rPr>
      </w:pPr>
      <w:r w:rsidRPr="00052DC7">
        <w:rPr>
          <w:rFonts w:ascii="Times New Roman" w:hAnsi="Times New Roman"/>
          <w:b/>
          <w:bCs/>
        </w:rPr>
        <w:t>Proposal 2: Legacy timer T420 can be reused in the case of relay change.</w:t>
      </w:r>
    </w:p>
    <w:p w14:paraId="57DC1B8F" w14:textId="413BC70E" w:rsidR="005A0586" w:rsidRPr="00052DC7" w:rsidRDefault="005A0586" w:rsidP="006D54F1">
      <w:pPr>
        <w:spacing w:beforeLines="50" w:before="156" w:afterLines="50" w:after="156"/>
        <w:rPr>
          <w:rFonts w:ascii="Times New Roman" w:hAnsi="Times New Roman"/>
          <w:b/>
          <w:bCs/>
        </w:rPr>
      </w:pPr>
      <w:r w:rsidRPr="00052DC7">
        <w:rPr>
          <w:rFonts w:ascii="Times New Roman" w:hAnsi="Times New Roman"/>
          <w:b/>
          <w:bCs/>
        </w:rPr>
        <w:t>Proposal 3: Intra-gNB cell change via a single procedure while the remote UE keeps the indirect path under the same gNB should be supported.</w:t>
      </w:r>
    </w:p>
    <w:p w14:paraId="3114EEA2" w14:textId="6C53AE7F" w:rsidR="00066093" w:rsidRPr="00052DC7" w:rsidRDefault="002D3C89" w:rsidP="006D54F1">
      <w:pPr>
        <w:spacing w:beforeLines="50" w:before="156" w:afterLines="50" w:after="156"/>
        <w:rPr>
          <w:rFonts w:ascii="Times New Roman" w:hAnsi="Times New Roman"/>
          <w:b/>
          <w:bCs/>
        </w:rPr>
      </w:pPr>
      <w:r w:rsidRPr="00052DC7">
        <w:rPr>
          <w:rFonts w:ascii="Times New Roman" w:hAnsi="Times New Roman"/>
          <w:b/>
          <w:bCs/>
        </w:rPr>
        <w:t>Proposal 4: The concept of primary path for CP can be supported.</w:t>
      </w:r>
    </w:p>
    <w:p w14:paraId="4008BA10" w14:textId="15963C5C" w:rsidR="00066093" w:rsidRPr="00052DC7" w:rsidRDefault="00066093"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5A0586" w:rsidRPr="00052DC7">
        <w:rPr>
          <w:rFonts w:ascii="Times New Roman" w:hAnsi="Times New Roman"/>
          <w:b/>
          <w:bCs/>
        </w:rPr>
        <w:t>5</w:t>
      </w:r>
      <w:r w:rsidRPr="00052DC7">
        <w:rPr>
          <w:rFonts w:ascii="Times New Roman" w:hAnsi="Times New Roman"/>
          <w:b/>
          <w:bCs/>
        </w:rPr>
        <w:t xml:space="preserve">: The following Inter-gNB handover associated with </w:t>
      </w:r>
      <w:proofErr w:type="gramStart"/>
      <w:r w:rsidRPr="00052DC7">
        <w:rPr>
          <w:rFonts w:ascii="Times New Roman" w:hAnsi="Times New Roman"/>
          <w:b/>
          <w:bCs/>
        </w:rPr>
        <w:t>Multi-path</w:t>
      </w:r>
      <w:proofErr w:type="gramEnd"/>
      <w:r w:rsidRPr="00052DC7">
        <w:rPr>
          <w:rFonts w:ascii="Times New Roman" w:hAnsi="Times New Roman"/>
          <w:b/>
          <w:bCs/>
        </w:rPr>
        <w:t xml:space="preserve"> should be discussed.</w:t>
      </w:r>
    </w:p>
    <w:p w14:paraId="29D6D912" w14:textId="77777777" w:rsidR="00066093" w:rsidRPr="00052DC7" w:rsidRDefault="00066093" w:rsidP="006D54F1">
      <w:pPr>
        <w:widowControl/>
        <w:numPr>
          <w:ilvl w:val="0"/>
          <w:numId w:val="7"/>
        </w:numPr>
        <w:spacing w:beforeLines="50" w:before="156" w:afterLines="50" w:after="156"/>
        <w:rPr>
          <w:rFonts w:ascii="Times New Roman" w:hAnsi="Times New Roman"/>
          <w:b/>
          <w:bCs/>
        </w:rPr>
      </w:pPr>
      <w:r w:rsidRPr="00052DC7">
        <w:rPr>
          <w:rFonts w:ascii="Times New Roman" w:hAnsi="Times New Roman"/>
          <w:b/>
          <w:bCs/>
        </w:rPr>
        <w:t xml:space="preserve">Use Case 1: Multi-path in source gNB-&gt; Only one path in target </w:t>
      </w:r>
      <w:proofErr w:type="gramStart"/>
      <w:r w:rsidRPr="00052DC7">
        <w:rPr>
          <w:rFonts w:ascii="Times New Roman" w:hAnsi="Times New Roman"/>
          <w:b/>
          <w:bCs/>
        </w:rPr>
        <w:t>gNB;</w:t>
      </w:r>
      <w:proofErr w:type="gramEnd"/>
    </w:p>
    <w:p w14:paraId="3252588A" w14:textId="77777777" w:rsidR="00066093" w:rsidRPr="00052DC7" w:rsidRDefault="00066093" w:rsidP="006D54F1">
      <w:pPr>
        <w:widowControl/>
        <w:numPr>
          <w:ilvl w:val="0"/>
          <w:numId w:val="7"/>
        </w:numPr>
        <w:spacing w:beforeLines="50" w:before="156" w:afterLines="50" w:after="156"/>
        <w:rPr>
          <w:rFonts w:ascii="Times New Roman" w:hAnsi="Times New Roman"/>
          <w:b/>
          <w:bCs/>
        </w:rPr>
      </w:pPr>
      <w:r w:rsidRPr="00052DC7">
        <w:rPr>
          <w:rFonts w:ascii="Times New Roman" w:hAnsi="Times New Roman"/>
          <w:b/>
          <w:bCs/>
        </w:rPr>
        <w:t>Use Case 2: One path in source-&gt;</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p>
    <w:p w14:paraId="1C1B672C" w14:textId="77777777" w:rsidR="00066093" w:rsidRPr="00052DC7" w:rsidRDefault="00066093" w:rsidP="006D54F1">
      <w:pPr>
        <w:widowControl/>
        <w:numPr>
          <w:ilvl w:val="0"/>
          <w:numId w:val="7"/>
        </w:numPr>
        <w:spacing w:beforeLines="50" w:before="156" w:afterLines="50" w:after="156"/>
        <w:rPr>
          <w:rFonts w:ascii="Times New Roman" w:hAnsi="Times New Roman"/>
          <w:b/>
          <w:bCs/>
        </w:rPr>
      </w:pPr>
      <w:r w:rsidRPr="00052DC7">
        <w:rPr>
          <w:rFonts w:ascii="Times New Roman" w:hAnsi="Times New Roman"/>
          <w:b/>
          <w:bCs/>
        </w:rPr>
        <w:t xml:space="preserve">Use Case 3: Multi-path in source gNB-&gt; </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 (different relays in the source gNB and target gNB);</w:t>
      </w:r>
    </w:p>
    <w:p w14:paraId="1FD478B9" w14:textId="2C462B68"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Proposal 6: Inter-gNB handover of a remote UE together with the same relay UE in Scenario 2 should be discussed.</w:t>
      </w:r>
    </w:p>
    <w:p w14:paraId="4E094EDA" w14:textId="795E447D" w:rsidR="0071024D" w:rsidRPr="00052DC7" w:rsidRDefault="0071024D"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5A0586" w:rsidRPr="00052DC7">
        <w:rPr>
          <w:rFonts w:ascii="Times New Roman" w:hAnsi="Times New Roman"/>
          <w:b/>
          <w:bCs/>
        </w:rPr>
        <w:t>7</w:t>
      </w:r>
      <w:r w:rsidRPr="00052DC7">
        <w:rPr>
          <w:rFonts w:ascii="Times New Roman" w:hAnsi="Times New Roman"/>
          <w:b/>
          <w:bCs/>
        </w:rPr>
        <w:t>:</w:t>
      </w:r>
      <w:r w:rsidR="006D54F1" w:rsidRPr="00052DC7">
        <w:rPr>
          <w:rFonts w:ascii="Times New Roman" w:hAnsi="Times New Roman"/>
          <w:b/>
          <w:bCs/>
        </w:rPr>
        <w:t xml:space="preserve"> </w:t>
      </w:r>
      <w:r w:rsidR="003E7362" w:rsidRPr="00052DC7">
        <w:rPr>
          <w:rFonts w:ascii="Times New Roman" w:hAnsi="Times New Roman"/>
          <w:b/>
          <w:bCs/>
        </w:rPr>
        <w:t>The activation/deactivation of PDCP duplication for a DRB in multi-path relaying case</w:t>
      </w:r>
      <w:r w:rsidR="003E7362" w:rsidRPr="00052DC7" w:rsidDel="00093F11">
        <w:rPr>
          <w:rFonts w:ascii="Times New Roman" w:hAnsi="Times New Roman"/>
          <w:b/>
          <w:bCs/>
        </w:rPr>
        <w:t xml:space="preserve"> </w:t>
      </w:r>
      <w:r w:rsidR="003E7362" w:rsidRPr="00052DC7">
        <w:rPr>
          <w:rFonts w:ascii="Times New Roman" w:hAnsi="Times New Roman"/>
          <w:b/>
          <w:bCs/>
        </w:rPr>
        <w:t>can be dynamically controlled by the gNB</w:t>
      </w:r>
      <w:r w:rsidR="006D54F1" w:rsidRPr="00052DC7">
        <w:rPr>
          <w:rFonts w:ascii="Times New Roman" w:hAnsi="Times New Roman"/>
          <w:b/>
          <w:bCs/>
        </w:rPr>
        <w:t>.</w:t>
      </w:r>
    </w:p>
    <w:p w14:paraId="5622DFAE" w14:textId="415CE678" w:rsidR="0071024D" w:rsidRPr="00052DC7" w:rsidRDefault="0071024D"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5A0586" w:rsidRPr="00052DC7">
        <w:rPr>
          <w:rFonts w:ascii="Times New Roman" w:hAnsi="Times New Roman"/>
          <w:b/>
          <w:bCs/>
        </w:rPr>
        <w:t>8</w:t>
      </w:r>
      <w:r w:rsidRPr="00052DC7">
        <w:rPr>
          <w:rFonts w:ascii="Times New Roman" w:hAnsi="Times New Roman"/>
          <w:b/>
          <w:bCs/>
        </w:rPr>
        <w:t xml:space="preserve">: </w:t>
      </w:r>
      <w:r w:rsidR="00784029" w:rsidRPr="00052DC7">
        <w:rPr>
          <w:rFonts w:ascii="Times New Roman" w:hAnsi="Times New Roman"/>
          <w:b/>
          <w:bCs/>
        </w:rPr>
        <w:t>The Duplication Activation/Deactivation MAC CE can be reused</w:t>
      </w:r>
      <w:r w:rsidRPr="00052DC7">
        <w:rPr>
          <w:rFonts w:ascii="Times New Roman" w:hAnsi="Times New Roman"/>
          <w:b/>
          <w:bCs/>
        </w:rPr>
        <w:t xml:space="preserve">. </w:t>
      </w:r>
    </w:p>
    <w:p w14:paraId="6FCDEF54" w14:textId="769AE492"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Proposal 9: Both legacy data volume threshold for split bearer and some enhancements can be considered to support MP split bearer in multi-path relaying case.</w:t>
      </w:r>
    </w:p>
    <w:p w14:paraId="36EE41BE" w14:textId="77777777"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Proposal 10: Remote UE can use mode 2 SL transmission resources from both the serving cells in a multipath scenario.</w:t>
      </w:r>
    </w:p>
    <w:p w14:paraId="6D5CDB41" w14:textId="77777777"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Proposal 11: Remote UE can use mode 1 SL transmission resources from direct path and mode 2 SL transmission resources from the serving cell on the indirect path, in a multipath scenario.</w:t>
      </w:r>
    </w:p>
    <w:p w14:paraId="2F3FA01D" w14:textId="77777777" w:rsidR="00052DC7" w:rsidRDefault="00052DC7" w:rsidP="00052DC7">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417F4F1E" w:rsidR="002E4027" w:rsidRPr="001D1CA2" w:rsidRDefault="0071024D" w:rsidP="003657DD">
      <w:pPr>
        <w:pStyle w:val="References"/>
        <w:rPr>
          <w:lang w:val="de-DE"/>
        </w:rPr>
      </w:pPr>
      <w:r w:rsidRPr="001D1CA2">
        <w:rPr>
          <w:lang w:val="de-DE" w:eastAsia="zh-CN"/>
        </w:rPr>
        <w:t>RAN2#119</w:t>
      </w:r>
      <w:r w:rsidR="00EA7705" w:rsidRPr="001D1CA2">
        <w:rPr>
          <w:lang w:val="de-DE" w:eastAsia="zh-CN"/>
        </w:rPr>
        <w:t>bis</w:t>
      </w:r>
      <w:r w:rsidRPr="001D1CA2">
        <w:rPr>
          <w:lang w:val="de-DE" w:eastAsia="zh-CN"/>
        </w:rPr>
        <w:t>-e chairman note</w:t>
      </w:r>
      <w:r w:rsidR="00F21FB3" w:rsidRPr="001D1CA2">
        <w:rPr>
          <w:lang w:val="de-DE"/>
        </w:rPr>
        <w:t>s</w:t>
      </w:r>
      <w:r w:rsidR="007B5C1F" w:rsidRPr="001D1CA2">
        <w:rPr>
          <w:lang w:val="de-DE"/>
        </w:rPr>
        <w:t>.</w:t>
      </w:r>
    </w:p>
    <w:p w14:paraId="3C714ABD" w14:textId="77777777" w:rsidR="001921B4" w:rsidRPr="001D1CA2" w:rsidRDefault="001921B4" w:rsidP="001921B4">
      <w:pPr>
        <w:rPr>
          <w:lang w:val="de-DE" w:eastAsia="en-US"/>
        </w:rPr>
      </w:pPr>
    </w:p>
    <w:sectPr w:rsidR="001921B4" w:rsidRPr="001D1CA2"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9E4C6" w14:textId="77777777" w:rsidR="001E4DBD" w:rsidRDefault="001E4DBD">
      <w:r>
        <w:separator/>
      </w:r>
    </w:p>
  </w:endnote>
  <w:endnote w:type="continuationSeparator" w:id="0">
    <w:p w14:paraId="3EA280BB" w14:textId="77777777" w:rsidR="001E4DBD" w:rsidRDefault="001E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18315" w14:textId="77777777" w:rsidR="001E4DBD" w:rsidRDefault="001E4DBD">
      <w:r>
        <w:separator/>
      </w:r>
    </w:p>
  </w:footnote>
  <w:footnote w:type="continuationSeparator" w:id="0">
    <w:p w14:paraId="62AD6867" w14:textId="77777777" w:rsidR="001E4DBD" w:rsidRDefault="001E4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25234D"/>
    <w:multiLevelType w:val="hybridMultilevel"/>
    <w:tmpl w:val="4E185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1C0F03"/>
    <w:multiLevelType w:val="hybridMultilevel"/>
    <w:tmpl w:val="CD3CF3CC"/>
    <w:lvl w:ilvl="0" w:tplc="917603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9"/>
  </w:num>
  <w:num w:numId="5">
    <w:abstractNumId w:val="5"/>
  </w:num>
  <w:num w:numId="6">
    <w:abstractNumId w:val="6"/>
  </w:num>
  <w:num w:numId="7">
    <w:abstractNumId w:val="3"/>
  </w:num>
  <w:num w:numId="8">
    <w:abstractNumId w:val="2"/>
  </w:num>
  <w:num w:numId="9">
    <w:abstractNumId w:val="4"/>
  </w:num>
  <w:num w:numId="10">
    <w:abstractNumId w:val="8"/>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B4"/>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DC7"/>
    <w:rsid w:val="000538A8"/>
    <w:rsid w:val="00053CF8"/>
    <w:rsid w:val="000549A4"/>
    <w:rsid w:val="00054D34"/>
    <w:rsid w:val="00055144"/>
    <w:rsid w:val="00055740"/>
    <w:rsid w:val="00056379"/>
    <w:rsid w:val="00056C52"/>
    <w:rsid w:val="000570F6"/>
    <w:rsid w:val="000578B0"/>
    <w:rsid w:val="00060C01"/>
    <w:rsid w:val="0006235F"/>
    <w:rsid w:val="0006328A"/>
    <w:rsid w:val="00064177"/>
    <w:rsid w:val="0006426A"/>
    <w:rsid w:val="00064478"/>
    <w:rsid w:val="00064A55"/>
    <w:rsid w:val="00064D91"/>
    <w:rsid w:val="00065039"/>
    <w:rsid w:val="000658FE"/>
    <w:rsid w:val="0006594E"/>
    <w:rsid w:val="00065A1F"/>
    <w:rsid w:val="00066093"/>
    <w:rsid w:val="00067DDF"/>
    <w:rsid w:val="00067F12"/>
    <w:rsid w:val="00070471"/>
    <w:rsid w:val="00070678"/>
    <w:rsid w:val="00070FD0"/>
    <w:rsid w:val="000711AD"/>
    <w:rsid w:val="00071B60"/>
    <w:rsid w:val="00072154"/>
    <w:rsid w:val="0007217A"/>
    <w:rsid w:val="0007256E"/>
    <w:rsid w:val="000728A7"/>
    <w:rsid w:val="00072969"/>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DAB"/>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3F11"/>
    <w:rsid w:val="00094578"/>
    <w:rsid w:val="000946CF"/>
    <w:rsid w:val="00094D05"/>
    <w:rsid w:val="00094FAB"/>
    <w:rsid w:val="00095723"/>
    <w:rsid w:val="00096088"/>
    <w:rsid w:val="000966B5"/>
    <w:rsid w:val="00097033"/>
    <w:rsid w:val="0009722A"/>
    <w:rsid w:val="000978DE"/>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823"/>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1C5B"/>
    <w:rsid w:val="000C2754"/>
    <w:rsid w:val="000C2D20"/>
    <w:rsid w:val="000C3046"/>
    <w:rsid w:val="000C4088"/>
    <w:rsid w:val="000C465A"/>
    <w:rsid w:val="000C4A49"/>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DBB"/>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A3"/>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2C40"/>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4C6E"/>
    <w:rsid w:val="00155426"/>
    <w:rsid w:val="0015566A"/>
    <w:rsid w:val="00155BE1"/>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5D"/>
    <w:rsid w:val="001D0994"/>
    <w:rsid w:val="001D09AD"/>
    <w:rsid w:val="001D0D6D"/>
    <w:rsid w:val="001D0F04"/>
    <w:rsid w:val="001D1083"/>
    <w:rsid w:val="001D10EA"/>
    <w:rsid w:val="001D13DB"/>
    <w:rsid w:val="001D197C"/>
    <w:rsid w:val="001D1BDC"/>
    <w:rsid w:val="001D1CA2"/>
    <w:rsid w:val="001D20A0"/>
    <w:rsid w:val="001D2B10"/>
    <w:rsid w:val="001D3F11"/>
    <w:rsid w:val="001D43A4"/>
    <w:rsid w:val="001D5AED"/>
    <w:rsid w:val="001D603B"/>
    <w:rsid w:val="001D6394"/>
    <w:rsid w:val="001D69F7"/>
    <w:rsid w:val="001D6E1A"/>
    <w:rsid w:val="001D703A"/>
    <w:rsid w:val="001D718A"/>
    <w:rsid w:val="001D7BE3"/>
    <w:rsid w:val="001E0C17"/>
    <w:rsid w:val="001E0EB0"/>
    <w:rsid w:val="001E0F95"/>
    <w:rsid w:val="001E2082"/>
    <w:rsid w:val="001E2332"/>
    <w:rsid w:val="001E248A"/>
    <w:rsid w:val="001E2A57"/>
    <w:rsid w:val="001E2B90"/>
    <w:rsid w:val="001E3191"/>
    <w:rsid w:val="001E348D"/>
    <w:rsid w:val="001E34BA"/>
    <w:rsid w:val="001E440B"/>
    <w:rsid w:val="001E4DBD"/>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32A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15C"/>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6F8B"/>
    <w:rsid w:val="00247C1A"/>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AB4"/>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894"/>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80E"/>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3F8"/>
    <w:rsid w:val="002A7FCA"/>
    <w:rsid w:val="002B0DD0"/>
    <w:rsid w:val="002B1099"/>
    <w:rsid w:val="002B12A9"/>
    <w:rsid w:val="002B23EA"/>
    <w:rsid w:val="002B273A"/>
    <w:rsid w:val="002B2C82"/>
    <w:rsid w:val="002B44D0"/>
    <w:rsid w:val="002B499F"/>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0DD"/>
    <w:rsid w:val="002C7A52"/>
    <w:rsid w:val="002D165D"/>
    <w:rsid w:val="002D1B96"/>
    <w:rsid w:val="002D2279"/>
    <w:rsid w:val="002D22EC"/>
    <w:rsid w:val="002D2B2A"/>
    <w:rsid w:val="002D2B78"/>
    <w:rsid w:val="002D3084"/>
    <w:rsid w:val="002D3328"/>
    <w:rsid w:val="002D39A6"/>
    <w:rsid w:val="002D3BD5"/>
    <w:rsid w:val="002D3C89"/>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49B"/>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23E"/>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122"/>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1ED8"/>
    <w:rsid w:val="003621DA"/>
    <w:rsid w:val="003624F8"/>
    <w:rsid w:val="003632FF"/>
    <w:rsid w:val="00363B83"/>
    <w:rsid w:val="00364853"/>
    <w:rsid w:val="003657DD"/>
    <w:rsid w:val="003658A9"/>
    <w:rsid w:val="00366286"/>
    <w:rsid w:val="0036684A"/>
    <w:rsid w:val="003675D5"/>
    <w:rsid w:val="003677AE"/>
    <w:rsid w:val="00367E8C"/>
    <w:rsid w:val="00367F04"/>
    <w:rsid w:val="00367FB7"/>
    <w:rsid w:val="003701B6"/>
    <w:rsid w:val="00370854"/>
    <w:rsid w:val="003708AB"/>
    <w:rsid w:val="003711BD"/>
    <w:rsid w:val="00371A43"/>
    <w:rsid w:val="00372066"/>
    <w:rsid w:val="00373370"/>
    <w:rsid w:val="003737B9"/>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9E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819"/>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362"/>
    <w:rsid w:val="003E7785"/>
    <w:rsid w:val="003F003E"/>
    <w:rsid w:val="003F07D3"/>
    <w:rsid w:val="003F16D0"/>
    <w:rsid w:val="003F2089"/>
    <w:rsid w:val="003F325E"/>
    <w:rsid w:val="003F4816"/>
    <w:rsid w:val="003F5497"/>
    <w:rsid w:val="003F6E45"/>
    <w:rsid w:val="003F6E8F"/>
    <w:rsid w:val="003F7C3F"/>
    <w:rsid w:val="0040046C"/>
    <w:rsid w:val="00401797"/>
    <w:rsid w:val="004025BA"/>
    <w:rsid w:val="00402969"/>
    <w:rsid w:val="00402A40"/>
    <w:rsid w:val="00404114"/>
    <w:rsid w:val="004071AF"/>
    <w:rsid w:val="004078AB"/>
    <w:rsid w:val="00410007"/>
    <w:rsid w:val="0041052B"/>
    <w:rsid w:val="004115D4"/>
    <w:rsid w:val="0041205F"/>
    <w:rsid w:val="00412AD7"/>
    <w:rsid w:val="00412F40"/>
    <w:rsid w:val="00412FBF"/>
    <w:rsid w:val="004135BA"/>
    <w:rsid w:val="00413947"/>
    <w:rsid w:val="00413C2C"/>
    <w:rsid w:val="00413C87"/>
    <w:rsid w:val="00413DD0"/>
    <w:rsid w:val="00414C2E"/>
    <w:rsid w:val="00414C49"/>
    <w:rsid w:val="00414C54"/>
    <w:rsid w:val="004150BA"/>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62C1"/>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7E4"/>
    <w:rsid w:val="00452CCB"/>
    <w:rsid w:val="00452CDF"/>
    <w:rsid w:val="004532B3"/>
    <w:rsid w:val="00453557"/>
    <w:rsid w:val="004537C6"/>
    <w:rsid w:val="00454AB4"/>
    <w:rsid w:val="00454EAB"/>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14A"/>
    <w:rsid w:val="00477E55"/>
    <w:rsid w:val="00477ED8"/>
    <w:rsid w:val="00477FD8"/>
    <w:rsid w:val="0048031B"/>
    <w:rsid w:val="004807EF"/>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519"/>
    <w:rsid w:val="00487818"/>
    <w:rsid w:val="00490187"/>
    <w:rsid w:val="0049043F"/>
    <w:rsid w:val="00490D17"/>
    <w:rsid w:val="00491079"/>
    <w:rsid w:val="00491257"/>
    <w:rsid w:val="0049136E"/>
    <w:rsid w:val="00492500"/>
    <w:rsid w:val="004928F9"/>
    <w:rsid w:val="004933B2"/>
    <w:rsid w:val="00493689"/>
    <w:rsid w:val="0049382A"/>
    <w:rsid w:val="004943E6"/>
    <w:rsid w:val="00494A06"/>
    <w:rsid w:val="00494F23"/>
    <w:rsid w:val="00495121"/>
    <w:rsid w:val="004960CC"/>
    <w:rsid w:val="004965C3"/>
    <w:rsid w:val="00496652"/>
    <w:rsid w:val="00496873"/>
    <w:rsid w:val="00496AC9"/>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37B"/>
    <w:rsid w:val="004C36A3"/>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2C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55F"/>
    <w:rsid w:val="004F2945"/>
    <w:rsid w:val="004F29F9"/>
    <w:rsid w:val="004F2E3A"/>
    <w:rsid w:val="004F4860"/>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1DA9"/>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B"/>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23"/>
    <w:rsid w:val="00585966"/>
    <w:rsid w:val="00585EDD"/>
    <w:rsid w:val="00586449"/>
    <w:rsid w:val="00586A77"/>
    <w:rsid w:val="005870F1"/>
    <w:rsid w:val="0058728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586"/>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2E"/>
    <w:rsid w:val="005B43B5"/>
    <w:rsid w:val="005B456A"/>
    <w:rsid w:val="005B45B5"/>
    <w:rsid w:val="005B47DA"/>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FA"/>
    <w:rsid w:val="005C4138"/>
    <w:rsid w:val="005C46CE"/>
    <w:rsid w:val="005C4B75"/>
    <w:rsid w:val="005C5479"/>
    <w:rsid w:val="005C617C"/>
    <w:rsid w:val="005C6259"/>
    <w:rsid w:val="005C6FD9"/>
    <w:rsid w:val="005C7734"/>
    <w:rsid w:val="005C774A"/>
    <w:rsid w:val="005D0671"/>
    <w:rsid w:val="005D0F6A"/>
    <w:rsid w:val="005D1599"/>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163"/>
    <w:rsid w:val="005E33E5"/>
    <w:rsid w:val="005E3552"/>
    <w:rsid w:val="005E362B"/>
    <w:rsid w:val="005E39D8"/>
    <w:rsid w:val="005E4930"/>
    <w:rsid w:val="005E5091"/>
    <w:rsid w:val="005E5389"/>
    <w:rsid w:val="005E594F"/>
    <w:rsid w:val="005E59A7"/>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08E"/>
    <w:rsid w:val="006055B7"/>
    <w:rsid w:val="0060566F"/>
    <w:rsid w:val="006057B7"/>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2E1"/>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6E4A"/>
    <w:rsid w:val="00687343"/>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4F1"/>
    <w:rsid w:val="006D584B"/>
    <w:rsid w:val="006D5EF8"/>
    <w:rsid w:val="006D622B"/>
    <w:rsid w:val="006D6395"/>
    <w:rsid w:val="006D6907"/>
    <w:rsid w:val="006D6A35"/>
    <w:rsid w:val="006D6E32"/>
    <w:rsid w:val="006D76AE"/>
    <w:rsid w:val="006D796A"/>
    <w:rsid w:val="006E10B5"/>
    <w:rsid w:val="006E113D"/>
    <w:rsid w:val="006E12D3"/>
    <w:rsid w:val="006E16F0"/>
    <w:rsid w:val="006E1735"/>
    <w:rsid w:val="006E2621"/>
    <w:rsid w:val="006E2757"/>
    <w:rsid w:val="006E2A45"/>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4D"/>
    <w:rsid w:val="00710699"/>
    <w:rsid w:val="007107E0"/>
    <w:rsid w:val="00710916"/>
    <w:rsid w:val="00710A79"/>
    <w:rsid w:val="00710AD8"/>
    <w:rsid w:val="00710C18"/>
    <w:rsid w:val="00710CDB"/>
    <w:rsid w:val="00711277"/>
    <w:rsid w:val="007113B5"/>
    <w:rsid w:val="00711425"/>
    <w:rsid w:val="007115DE"/>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CD"/>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A50"/>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3F89"/>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029"/>
    <w:rsid w:val="0078427E"/>
    <w:rsid w:val="00784E84"/>
    <w:rsid w:val="00785699"/>
    <w:rsid w:val="007858A4"/>
    <w:rsid w:val="007859B2"/>
    <w:rsid w:val="007866C8"/>
    <w:rsid w:val="007866D4"/>
    <w:rsid w:val="007873FC"/>
    <w:rsid w:val="0078778D"/>
    <w:rsid w:val="00787B99"/>
    <w:rsid w:val="007900EC"/>
    <w:rsid w:val="0079078A"/>
    <w:rsid w:val="007910C9"/>
    <w:rsid w:val="007916A2"/>
    <w:rsid w:val="00792392"/>
    <w:rsid w:val="007925EE"/>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892"/>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A20"/>
    <w:rsid w:val="007C0508"/>
    <w:rsid w:val="007C0E18"/>
    <w:rsid w:val="007C101C"/>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121"/>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44"/>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173"/>
    <w:rsid w:val="00836231"/>
    <w:rsid w:val="0083688F"/>
    <w:rsid w:val="00836AEB"/>
    <w:rsid w:val="00837448"/>
    <w:rsid w:val="008401FE"/>
    <w:rsid w:val="008405D0"/>
    <w:rsid w:val="00840819"/>
    <w:rsid w:val="0084164F"/>
    <w:rsid w:val="00841FFA"/>
    <w:rsid w:val="00842A0A"/>
    <w:rsid w:val="00843A8B"/>
    <w:rsid w:val="00844CF7"/>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BA6"/>
    <w:rsid w:val="00854EF5"/>
    <w:rsid w:val="008559B4"/>
    <w:rsid w:val="00855D6D"/>
    <w:rsid w:val="00855D9A"/>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E94"/>
    <w:rsid w:val="008C24D9"/>
    <w:rsid w:val="008C2B8E"/>
    <w:rsid w:val="008C3859"/>
    <w:rsid w:val="008C3FF4"/>
    <w:rsid w:val="008C49EC"/>
    <w:rsid w:val="008C5602"/>
    <w:rsid w:val="008C5DD3"/>
    <w:rsid w:val="008C6C44"/>
    <w:rsid w:val="008C6C59"/>
    <w:rsid w:val="008C6E74"/>
    <w:rsid w:val="008C7912"/>
    <w:rsid w:val="008C7BFB"/>
    <w:rsid w:val="008D0F21"/>
    <w:rsid w:val="008D121B"/>
    <w:rsid w:val="008D1825"/>
    <w:rsid w:val="008D1A17"/>
    <w:rsid w:val="008D1DFD"/>
    <w:rsid w:val="008D220C"/>
    <w:rsid w:val="008D243F"/>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E16"/>
    <w:rsid w:val="009012A7"/>
    <w:rsid w:val="00901DF7"/>
    <w:rsid w:val="0090256A"/>
    <w:rsid w:val="00902597"/>
    <w:rsid w:val="00902675"/>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E5F"/>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5C8"/>
    <w:rsid w:val="009357F9"/>
    <w:rsid w:val="00936261"/>
    <w:rsid w:val="009366A3"/>
    <w:rsid w:val="00937D5D"/>
    <w:rsid w:val="00937DB2"/>
    <w:rsid w:val="00940619"/>
    <w:rsid w:val="00940B7B"/>
    <w:rsid w:val="00941093"/>
    <w:rsid w:val="00941887"/>
    <w:rsid w:val="00941BA4"/>
    <w:rsid w:val="00942649"/>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62B"/>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20A"/>
    <w:rsid w:val="009A151E"/>
    <w:rsid w:val="009A17CB"/>
    <w:rsid w:val="009A1D84"/>
    <w:rsid w:val="009A1FD3"/>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1F"/>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E7AAB"/>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1FA1"/>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E66"/>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05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ADC"/>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4B8F"/>
    <w:rsid w:val="00A7526D"/>
    <w:rsid w:val="00A75B10"/>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1B7B"/>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5A35"/>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091"/>
    <w:rsid w:val="00AC50D8"/>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DC"/>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2F"/>
    <w:rsid w:val="00AF5AFB"/>
    <w:rsid w:val="00AF5E0C"/>
    <w:rsid w:val="00AF6A10"/>
    <w:rsid w:val="00AF6DB0"/>
    <w:rsid w:val="00AF7B35"/>
    <w:rsid w:val="00B00466"/>
    <w:rsid w:val="00B006DB"/>
    <w:rsid w:val="00B00BED"/>
    <w:rsid w:val="00B00F5B"/>
    <w:rsid w:val="00B01658"/>
    <w:rsid w:val="00B0265E"/>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3F5"/>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37B"/>
    <w:rsid w:val="00B87CF5"/>
    <w:rsid w:val="00B90086"/>
    <w:rsid w:val="00B900FC"/>
    <w:rsid w:val="00B905E8"/>
    <w:rsid w:val="00B90909"/>
    <w:rsid w:val="00B914F6"/>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704"/>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D2D"/>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4EE7"/>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749"/>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C4"/>
    <w:rsid w:val="00C211EC"/>
    <w:rsid w:val="00C21487"/>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4FD"/>
    <w:rsid w:val="00C3388D"/>
    <w:rsid w:val="00C33D24"/>
    <w:rsid w:val="00C33E4E"/>
    <w:rsid w:val="00C346DB"/>
    <w:rsid w:val="00C35583"/>
    <w:rsid w:val="00C36408"/>
    <w:rsid w:val="00C37378"/>
    <w:rsid w:val="00C40217"/>
    <w:rsid w:val="00C40251"/>
    <w:rsid w:val="00C4132D"/>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7D2"/>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64A"/>
    <w:rsid w:val="00C928F4"/>
    <w:rsid w:val="00C930DB"/>
    <w:rsid w:val="00C93101"/>
    <w:rsid w:val="00C93713"/>
    <w:rsid w:val="00C93941"/>
    <w:rsid w:val="00C93D73"/>
    <w:rsid w:val="00C94205"/>
    <w:rsid w:val="00C949F7"/>
    <w:rsid w:val="00C95777"/>
    <w:rsid w:val="00C95E90"/>
    <w:rsid w:val="00C9683D"/>
    <w:rsid w:val="00C96868"/>
    <w:rsid w:val="00C9694D"/>
    <w:rsid w:val="00C96AD1"/>
    <w:rsid w:val="00C9740D"/>
    <w:rsid w:val="00C97710"/>
    <w:rsid w:val="00C97A7E"/>
    <w:rsid w:val="00CA0576"/>
    <w:rsid w:val="00CA3104"/>
    <w:rsid w:val="00CA3486"/>
    <w:rsid w:val="00CA40BF"/>
    <w:rsid w:val="00CA42F2"/>
    <w:rsid w:val="00CA45F6"/>
    <w:rsid w:val="00CA4A65"/>
    <w:rsid w:val="00CA5489"/>
    <w:rsid w:val="00CA588E"/>
    <w:rsid w:val="00CA59E5"/>
    <w:rsid w:val="00CA62F8"/>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43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16B"/>
    <w:rsid w:val="00CF0515"/>
    <w:rsid w:val="00CF07B1"/>
    <w:rsid w:val="00CF09B4"/>
    <w:rsid w:val="00CF12EA"/>
    <w:rsid w:val="00CF1B8C"/>
    <w:rsid w:val="00CF300F"/>
    <w:rsid w:val="00CF47D4"/>
    <w:rsid w:val="00CF5B00"/>
    <w:rsid w:val="00CF62CC"/>
    <w:rsid w:val="00CF6889"/>
    <w:rsid w:val="00CF6C6B"/>
    <w:rsid w:val="00CF76D0"/>
    <w:rsid w:val="00CF77C0"/>
    <w:rsid w:val="00CF7B71"/>
    <w:rsid w:val="00D00618"/>
    <w:rsid w:val="00D00A1C"/>
    <w:rsid w:val="00D00DE8"/>
    <w:rsid w:val="00D0200C"/>
    <w:rsid w:val="00D03ABB"/>
    <w:rsid w:val="00D042E8"/>
    <w:rsid w:val="00D04561"/>
    <w:rsid w:val="00D04623"/>
    <w:rsid w:val="00D04800"/>
    <w:rsid w:val="00D050AB"/>
    <w:rsid w:val="00D051C8"/>
    <w:rsid w:val="00D0533E"/>
    <w:rsid w:val="00D055D3"/>
    <w:rsid w:val="00D06848"/>
    <w:rsid w:val="00D075F0"/>
    <w:rsid w:val="00D07F0D"/>
    <w:rsid w:val="00D07F4C"/>
    <w:rsid w:val="00D10CB9"/>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178FF"/>
    <w:rsid w:val="00D20ABA"/>
    <w:rsid w:val="00D212CC"/>
    <w:rsid w:val="00D215F0"/>
    <w:rsid w:val="00D21823"/>
    <w:rsid w:val="00D224A1"/>
    <w:rsid w:val="00D233E3"/>
    <w:rsid w:val="00D235DA"/>
    <w:rsid w:val="00D23689"/>
    <w:rsid w:val="00D238D1"/>
    <w:rsid w:val="00D23C7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421"/>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367"/>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A9F"/>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03B"/>
    <w:rsid w:val="00DF4553"/>
    <w:rsid w:val="00DF47EE"/>
    <w:rsid w:val="00DF4B3E"/>
    <w:rsid w:val="00DF4D70"/>
    <w:rsid w:val="00DF54A2"/>
    <w:rsid w:val="00DF58F4"/>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6B6"/>
    <w:rsid w:val="00E32CC2"/>
    <w:rsid w:val="00E32DB0"/>
    <w:rsid w:val="00E32E8B"/>
    <w:rsid w:val="00E3317E"/>
    <w:rsid w:val="00E33894"/>
    <w:rsid w:val="00E33C1D"/>
    <w:rsid w:val="00E35B95"/>
    <w:rsid w:val="00E35CD5"/>
    <w:rsid w:val="00E364E5"/>
    <w:rsid w:val="00E365D6"/>
    <w:rsid w:val="00E36AC7"/>
    <w:rsid w:val="00E36B3C"/>
    <w:rsid w:val="00E370BD"/>
    <w:rsid w:val="00E37A94"/>
    <w:rsid w:val="00E4015F"/>
    <w:rsid w:val="00E41158"/>
    <w:rsid w:val="00E421BA"/>
    <w:rsid w:val="00E42292"/>
    <w:rsid w:val="00E433E4"/>
    <w:rsid w:val="00E43D42"/>
    <w:rsid w:val="00E451A6"/>
    <w:rsid w:val="00E45EAC"/>
    <w:rsid w:val="00E467BD"/>
    <w:rsid w:val="00E46A8D"/>
    <w:rsid w:val="00E46BF9"/>
    <w:rsid w:val="00E4715E"/>
    <w:rsid w:val="00E4768E"/>
    <w:rsid w:val="00E47969"/>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6C0"/>
    <w:rsid w:val="00E708A2"/>
    <w:rsid w:val="00E71176"/>
    <w:rsid w:val="00E71743"/>
    <w:rsid w:val="00E71A6C"/>
    <w:rsid w:val="00E71D96"/>
    <w:rsid w:val="00E71E4F"/>
    <w:rsid w:val="00E721E5"/>
    <w:rsid w:val="00E72764"/>
    <w:rsid w:val="00E735A3"/>
    <w:rsid w:val="00E73FA4"/>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24"/>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189"/>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705"/>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8E"/>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82E"/>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41E"/>
    <w:rsid w:val="00EF76E6"/>
    <w:rsid w:val="00EF7DA6"/>
    <w:rsid w:val="00EF7EDF"/>
    <w:rsid w:val="00F00506"/>
    <w:rsid w:val="00F00776"/>
    <w:rsid w:val="00F00AD4"/>
    <w:rsid w:val="00F01987"/>
    <w:rsid w:val="00F019CF"/>
    <w:rsid w:val="00F01CB2"/>
    <w:rsid w:val="00F01D36"/>
    <w:rsid w:val="00F02492"/>
    <w:rsid w:val="00F02570"/>
    <w:rsid w:val="00F02EFA"/>
    <w:rsid w:val="00F03383"/>
    <w:rsid w:val="00F04A72"/>
    <w:rsid w:val="00F051C8"/>
    <w:rsid w:val="00F05AE7"/>
    <w:rsid w:val="00F05CC7"/>
    <w:rsid w:val="00F0639A"/>
    <w:rsid w:val="00F0715F"/>
    <w:rsid w:val="00F07429"/>
    <w:rsid w:val="00F07615"/>
    <w:rsid w:val="00F079B6"/>
    <w:rsid w:val="00F07A62"/>
    <w:rsid w:val="00F07CC3"/>
    <w:rsid w:val="00F10344"/>
    <w:rsid w:val="00F10424"/>
    <w:rsid w:val="00F10A61"/>
    <w:rsid w:val="00F1105A"/>
    <w:rsid w:val="00F11305"/>
    <w:rsid w:val="00F11323"/>
    <w:rsid w:val="00F11571"/>
    <w:rsid w:val="00F115B9"/>
    <w:rsid w:val="00F117E3"/>
    <w:rsid w:val="00F11ADB"/>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525"/>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B36"/>
    <w:rsid w:val="00F52CBC"/>
    <w:rsid w:val="00F52CF5"/>
    <w:rsid w:val="00F52DBA"/>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29"/>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0EB5"/>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189"/>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customStyle="1" w:styleId="ListParagraph1">
    <w:name w:val="List Paragraph1"/>
    <w:basedOn w:val="Normal"/>
    <w:rsid w:val="002B2C82"/>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kern w:val="0"/>
      <w:sz w:val="24"/>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E4796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2133</Words>
  <Characters>12163</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Prateek</cp:lastModifiedBy>
  <cp:revision>5</cp:revision>
  <cp:lastPrinted>2012-10-30T00:20:00Z</cp:lastPrinted>
  <dcterms:created xsi:type="dcterms:W3CDTF">2022-11-04T06:31:00Z</dcterms:created>
  <dcterms:modified xsi:type="dcterms:W3CDTF">2022-11-04T07:29:00Z</dcterms:modified>
</cp:coreProperties>
</file>